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F0" w:rsidRPr="00484B52" w:rsidRDefault="007B2BF0" w:rsidP="007B2BF0">
      <w:pPr>
        <w:jc w:val="center"/>
        <w:rPr>
          <w:b/>
          <w:bCs/>
          <w:sz w:val="24"/>
          <w:szCs w:val="24"/>
        </w:rPr>
      </w:pPr>
      <w:r w:rsidRPr="00484B52">
        <w:rPr>
          <w:b/>
          <w:bCs/>
          <w:sz w:val="24"/>
          <w:szCs w:val="24"/>
        </w:rPr>
        <w:t>Graduate Council Meeting</w:t>
      </w:r>
    </w:p>
    <w:p w:rsidR="007B2BF0" w:rsidRPr="00484B52" w:rsidRDefault="00F113A6" w:rsidP="007B2BF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</w:t>
      </w:r>
    </w:p>
    <w:p w:rsidR="007B2BF0" w:rsidRPr="00484B52" w:rsidRDefault="007B2BF0" w:rsidP="007B2BF0">
      <w:pPr>
        <w:jc w:val="center"/>
        <w:rPr>
          <w:sz w:val="24"/>
          <w:szCs w:val="24"/>
        </w:rPr>
      </w:pPr>
      <w:r w:rsidRPr="00484B52">
        <w:rPr>
          <w:sz w:val="24"/>
          <w:szCs w:val="24"/>
        </w:rPr>
        <w:t>October 18, 2010</w:t>
      </w:r>
    </w:p>
    <w:p w:rsidR="007B2BF0" w:rsidRPr="00484B52" w:rsidRDefault="007B2BF0" w:rsidP="007B2BF0">
      <w:pPr>
        <w:jc w:val="center"/>
        <w:rPr>
          <w:sz w:val="24"/>
          <w:szCs w:val="24"/>
        </w:rPr>
      </w:pPr>
      <w:proofErr w:type="spellStart"/>
      <w:r w:rsidRPr="00484B52">
        <w:rPr>
          <w:sz w:val="24"/>
          <w:szCs w:val="24"/>
        </w:rPr>
        <w:t>Colston</w:t>
      </w:r>
      <w:proofErr w:type="spellEnd"/>
      <w:r w:rsidRPr="00484B52">
        <w:rPr>
          <w:sz w:val="24"/>
          <w:szCs w:val="24"/>
        </w:rPr>
        <w:t xml:space="preserve"> Conference Room</w:t>
      </w:r>
    </w:p>
    <w:p w:rsidR="007B2BF0" w:rsidRDefault="007B2BF0" w:rsidP="007B2BF0">
      <w:pPr>
        <w:jc w:val="center"/>
        <w:rPr>
          <w:sz w:val="24"/>
          <w:szCs w:val="24"/>
        </w:rPr>
      </w:pPr>
      <w:r w:rsidRPr="00484B52">
        <w:rPr>
          <w:sz w:val="24"/>
          <w:szCs w:val="24"/>
        </w:rPr>
        <w:t>4:00 PM</w:t>
      </w:r>
    </w:p>
    <w:p w:rsidR="00896164" w:rsidRDefault="00896164" w:rsidP="007B2BF0">
      <w:pPr>
        <w:jc w:val="center"/>
        <w:rPr>
          <w:sz w:val="24"/>
          <w:szCs w:val="24"/>
        </w:rPr>
      </w:pPr>
    </w:p>
    <w:p w:rsidR="00896164" w:rsidRPr="00484B52" w:rsidRDefault="00896164" w:rsidP="00896164">
      <w:pPr>
        <w:rPr>
          <w:sz w:val="24"/>
          <w:szCs w:val="24"/>
        </w:rPr>
      </w:pPr>
      <w:r>
        <w:rPr>
          <w:sz w:val="24"/>
          <w:szCs w:val="24"/>
        </w:rPr>
        <w:t xml:space="preserve">Present: Emily Crawford, </w:t>
      </w:r>
      <w:proofErr w:type="spellStart"/>
      <w:r>
        <w:rPr>
          <w:sz w:val="24"/>
          <w:szCs w:val="24"/>
        </w:rPr>
        <w:t>Harpel</w:t>
      </w:r>
      <w:proofErr w:type="spellEnd"/>
      <w:r>
        <w:rPr>
          <w:sz w:val="24"/>
          <w:szCs w:val="24"/>
        </w:rPr>
        <w:t xml:space="preserve"> Singh, Leseane, Mary Wyatt, Jane Gates, Ulysses J. Brown III, Behrooz Kalantari, William Dowling, Bernita Berry </w:t>
      </w:r>
    </w:p>
    <w:p w:rsidR="007B2BF0" w:rsidRPr="00484B52" w:rsidRDefault="007B2BF0" w:rsidP="007B2BF0">
      <w:pPr>
        <w:jc w:val="center"/>
        <w:rPr>
          <w:sz w:val="24"/>
          <w:szCs w:val="24"/>
        </w:rPr>
      </w:pPr>
    </w:p>
    <w:p w:rsidR="007B2BF0" w:rsidRPr="00484B52" w:rsidRDefault="007B2BF0" w:rsidP="007B2BF0">
      <w:pPr>
        <w:rPr>
          <w:sz w:val="24"/>
          <w:szCs w:val="24"/>
        </w:rPr>
      </w:pPr>
      <w:r w:rsidRPr="00484B52">
        <w:rPr>
          <w:sz w:val="24"/>
          <w:szCs w:val="24"/>
        </w:rPr>
        <w:t>Call to Order</w:t>
      </w:r>
    </w:p>
    <w:p w:rsidR="007B2BF0" w:rsidRDefault="00896164" w:rsidP="007B2BF0">
      <w:pPr>
        <w:rPr>
          <w:sz w:val="24"/>
          <w:szCs w:val="24"/>
        </w:rPr>
      </w:pPr>
      <w:r>
        <w:rPr>
          <w:sz w:val="24"/>
          <w:szCs w:val="24"/>
        </w:rPr>
        <w:t>A quorum was met at 4:30 PM</w:t>
      </w:r>
    </w:p>
    <w:p w:rsidR="00896164" w:rsidRPr="00484B52" w:rsidRDefault="00896164" w:rsidP="007B2BF0">
      <w:pPr>
        <w:rPr>
          <w:sz w:val="24"/>
          <w:szCs w:val="24"/>
        </w:rPr>
      </w:pPr>
    </w:p>
    <w:p w:rsidR="007B2BF0" w:rsidRPr="00484B52" w:rsidRDefault="007B2BF0" w:rsidP="007B2BF0">
      <w:pPr>
        <w:rPr>
          <w:sz w:val="24"/>
          <w:szCs w:val="24"/>
        </w:rPr>
      </w:pPr>
      <w:r w:rsidRPr="00484B52">
        <w:rPr>
          <w:sz w:val="24"/>
          <w:szCs w:val="24"/>
        </w:rPr>
        <w:t>Approval of Agenda</w:t>
      </w:r>
    </w:p>
    <w:p w:rsidR="007B2BF0" w:rsidRPr="00484B52" w:rsidRDefault="007B2BF0" w:rsidP="007B2BF0">
      <w:pPr>
        <w:rPr>
          <w:sz w:val="24"/>
          <w:szCs w:val="24"/>
        </w:rPr>
      </w:pPr>
    </w:p>
    <w:p w:rsidR="00B630AB" w:rsidRPr="00484B52" w:rsidRDefault="007B2BF0" w:rsidP="007B2BF0">
      <w:pPr>
        <w:rPr>
          <w:sz w:val="24"/>
          <w:szCs w:val="24"/>
        </w:rPr>
      </w:pPr>
      <w:r w:rsidRPr="00484B52">
        <w:rPr>
          <w:sz w:val="24"/>
          <w:szCs w:val="24"/>
        </w:rPr>
        <w:t>Election of Secretary</w:t>
      </w:r>
    </w:p>
    <w:p w:rsidR="00B630AB" w:rsidRPr="00484B52" w:rsidRDefault="00B630AB" w:rsidP="007B2BF0">
      <w:pPr>
        <w:rPr>
          <w:sz w:val="24"/>
          <w:szCs w:val="24"/>
        </w:rPr>
      </w:pPr>
      <w:r w:rsidRPr="00484B52">
        <w:rPr>
          <w:sz w:val="24"/>
          <w:szCs w:val="24"/>
        </w:rPr>
        <w:t xml:space="preserve">There was no election; the Interim Dean of Graduate Studies took the minutes. </w:t>
      </w:r>
    </w:p>
    <w:p w:rsidR="007B2BF0" w:rsidRPr="00484B52" w:rsidRDefault="007B2BF0" w:rsidP="007B2BF0">
      <w:pPr>
        <w:rPr>
          <w:b/>
          <w:bCs/>
          <w:sz w:val="24"/>
          <w:szCs w:val="24"/>
        </w:rPr>
      </w:pPr>
    </w:p>
    <w:p w:rsidR="007B2BF0" w:rsidRPr="00484B52" w:rsidRDefault="007B2BF0" w:rsidP="007B2BF0">
      <w:pPr>
        <w:jc w:val="center"/>
        <w:rPr>
          <w:b/>
          <w:bCs/>
          <w:sz w:val="24"/>
          <w:szCs w:val="24"/>
        </w:rPr>
      </w:pPr>
      <w:r w:rsidRPr="00484B52">
        <w:rPr>
          <w:b/>
          <w:bCs/>
          <w:sz w:val="24"/>
          <w:szCs w:val="24"/>
        </w:rPr>
        <w:t>New Business</w:t>
      </w:r>
    </w:p>
    <w:p w:rsidR="007B2BF0" w:rsidRPr="00484B52" w:rsidRDefault="007B2BF0" w:rsidP="007B2BF0">
      <w:pPr>
        <w:jc w:val="center"/>
        <w:rPr>
          <w:sz w:val="24"/>
          <w:szCs w:val="24"/>
        </w:rPr>
      </w:pPr>
    </w:p>
    <w:p w:rsidR="007B2BF0" w:rsidRPr="00484B52" w:rsidRDefault="007B2BF0" w:rsidP="007B2BF0">
      <w:pPr>
        <w:rPr>
          <w:b/>
          <w:sz w:val="24"/>
          <w:szCs w:val="24"/>
        </w:rPr>
      </w:pPr>
      <w:r w:rsidRPr="00484B52">
        <w:rPr>
          <w:b/>
          <w:sz w:val="24"/>
          <w:szCs w:val="24"/>
        </w:rPr>
        <w:t>Role of NPCC</w:t>
      </w:r>
    </w:p>
    <w:p w:rsidR="007B2BF0" w:rsidRPr="00484B52" w:rsidRDefault="00283167" w:rsidP="007B2BF0">
      <w:pPr>
        <w:rPr>
          <w:sz w:val="24"/>
          <w:szCs w:val="24"/>
        </w:rPr>
      </w:pPr>
      <w:r w:rsidRPr="00484B52">
        <w:rPr>
          <w:sz w:val="24"/>
          <w:szCs w:val="24"/>
        </w:rPr>
        <w:t>Dr Wyatt wanted clarification of the role of NPCC as it related to both graduate and undergraduate programs. Also, she wanted a clear explanation of NPCC to be included in the Faculty handbook.</w:t>
      </w:r>
    </w:p>
    <w:p w:rsidR="00283167" w:rsidRPr="00484B52" w:rsidRDefault="00283167" w:rsidP="007B2BF0">
      <w:pPr>
        <w:rPr>
          <w:sz w:val="24"/>
          <w:szCs w:val="24"/>
        </w:rPr>
      </w:pPr>
    </w:p>
    <w:p w:rsidR="007B2BF0" w:rsidRPr="00484B52" w:rsidRDefault="007B2BF0" w:rsidP="007B2BF0">
      <w:pPr>
        <w:rPr>
          <w:b/>
          <w:sz w:val="24"/>
          <w:szCs w:val="24"/>
        </w:rPr>
      </w:pPr>
      <w:r w:rsidRPr="00484B52">
        <w:rPr>
          <w:b/>
          <w:sz w:val="24"/>
          <w:szCs w:val="24"/>
        </w:rPr>
        <w:t>Masters of Urban Studies and Planning Program</w:t>
      </w:r>
    </w:p>
    <w:p w:rsidR="00283167" w:rsidRPr="00484B52" w:rsidRDefault="00283167" w:rsidP="007B2BF0">
      <w:pPr>
        <w:rPr>
          <w:sz w:val="24"/>
          <w:szCs w:val="24"/>
        </w:rPr>
      </w:pPr>
      <w:r w:rsidRPr="00484B52">
        <w:rPr>
          <w:sz w:val="24"/>
          <w:szCs w:val="24"/>
        </w:rPr>
        <w:t xml:space="preserve">Dr. Bailey and Dr Gates presented </w:t>
      </w:r>
      <w:r w:rsidR="00681D8D" w:rsidRPr="00484B52">
        <w:rPr>
          <w:sz w:val="24"/>
          <w:szCs w:val="24"/>
        </w:rPr>
        <w:t xml:space="preserve">documents </w:t>
      </w:r>
      <w:r w:rsidR="00681D8D">
        <w:rPr>
          <w:sz w:val="24"/>
          <w:szCs w:val="24"/>
        </w:rPr>
        <w:t xml:space="preserve">(SEE ATTACHMENT) </w:t>
      </w:r>
      <w:r w:rsidRPr="00484B52">
        <w:rPr>
          <w:sz w:val="24"/>
          <w:szCs w:val="24"/>
        </w:rPr>
        <w:t xml:space="preserve">pertaining to </w:t>
      </w:r>
      <w:r w:rsidR="00B630AB" w:rsidRPr="00484B52">
        <w:rPr>
          <w:sz w:val="24"/>
          <w:szCs w:val="24"/>
        </w:rPr>
        <w:t>the rationale of deactivating the M</w:t>
      </w:r>
      <w:r w:rsidRPr="00484B52">
        <w:rPr>
          <w:sz w:val="24"/>
          <w:szCs w:val="24"/>
        </w:rPr>
        <w:t xml:space="preserve">asters of </w:t>
      </w:r>
      <w:r w:rsidR="00B630AB" w:rsidRPr="00484B52">
        <w:rPr>
          <w:sz w:val="24"/>
          <w:szCs w:val="24"/>
        </w:rPr>
        <w:t xml:space="preserve">Urban Studies and Planning Degree program. It was indicated that MUSP was a threshold program and have </w:t>
      </w:r>
      <w:r w:rsidR="009C78EC" w:rsidRPr="00484B52">
        <w:rPr>
          <w:sz w:val="24"/>
          <w:szCs w:val="24"/>
        </w:rPr>
        <w:t xml:space="preserve">graduated a small amount of </w:t>
      </w:r>
      <w:r w:rsidR="00B630AB" w:rsidRPr="00484B52">
        <w:rPr>
          <w:sz w:val="24"/>
          <w:szCs w:val="24"/>
        </w:rPr>
        <w:t xml:space="preserve">graduates </w:t>
      </w:r>
      <w:r w:rsidR="009C78EC" w:rsidRPr="00484B52">
        <w:rPr>
          <w:sz w:val="24"/>
          <w:szCs w:val="24"/>
        </w:rPr>
        <w:t xml:space="preserve">over </w:t>
      </w:r>
      <w:r w:rsidR="00681D8D">
        <w:rPr>
          <w:sz w:val="24"/>
          <w:szCs w:val="24"/>
        </w:rPr>
        <w:t xml:space="preserve">a </w:t>
      </w:r>
      <w:r w:rsidR="009C78EC" w:rsidRPr="00484B52">
        <w:rPr>
          <w:sz w:val="24"/>
          <w:szCs w:val="24"/>
        </w:rPr>
        <w:t>ten year period</w:t>
      </w:r>
      <w:r w:rsidR="00896164">
        <w:rPr>
          <w:sz w:val="24"/>
          <w:szCs w:val="24"/>
        </w:rPr>
        <w:t>.</w:t>
      </w:r>
      <w:r w:rsidR="00B630AB" w:rsidRPr="00484B52">
        <w:rPr>
          <w:sz w:val="24"/>
          <w:szCs w:val="24"/>
        </w:rPr>
        <w:t xml:space="preserve">  Instead</w:t>
      </w:r>
      <w:r w:rsidR="00896164">
        <w:rPr>
          <w:sz w:val="24"/>
          <w:szCs w:val="24"/>
        </w:rPr>
        <w:t>,</w:t>
      </w:r>
      <w:r w:rsidR="00B630AB" w:rsidRPr="00484B52">
        <w:rPr>
          <w:sz w:val="24"/>
          <w:szCs w:val="24"/>
        </w:rPr>
        <w:t xml:space="preserve"> it was decided by the Dean, Coordinator and Faculty members of the program to move the Masters of Urban Studies and Planning Degree Program from a degree to a concentration </w:t>
      </w:r>
      <w:r w:rsidR="00681D8D">
        <w:rPr>
          <w:sz w:val="24"/>
          <w:szCs w:val="24"/>
        </w:rPr>
        <w:t>for the Masters of Public Administration Degree.</w:t>
      </w:r>
      <w:r w:rsidR="00B630AB" w:rsidRPr="00484B52">
        <w:rPr>
          <w:sz w:val="24"/>
          <w:szCs w:val="24"/>
        </w:rPr>
        <w:t xml:space="preserve">  </w:t>
      </w:r>
    </w:p>
    <w:p w:rsidR="00B630AB" w:rsidRPr="00484B52" w:rsidRDefault="00B630AB" w:rsidP="007B2BF0">
      <w:pPr>
        <w:rPr>
          <w:sz w:val="24"/>
          <w:szCs w:val="24"/>
        </w:rPr>
      </w:pPr>
    </w:p>
    <w:p w:rsidR="00484B52" w:rsidRPr="00484B52" w:rsidRDefault="00896164" w:rsidP="007B2BF0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681D8D">
        <w:rPr>
          <w:sz w:val="24"/>
          <w:szCs w:val="24"/>
        </w:rPr>
        <w:t xml:space="preserve">ean Gates, Dr. Bailey </w:t>
      </w:r>
      <w:proofErr w:type="gramStart"/>
      <w:r w:rsidR="00F113A6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 MPA</w:t>
      </w:r>
      <w:proofErr w:type="gramEnd"/>
      <w:r>
        <w:rPr>
          <w:sz w:val="24"/>
          <w:szCs w:val="24"/>
        </w:rPr>
        <w:t xml:space="preserve"> </w:t>
      </w:r>
      <w:r w:rsidR="00F113A6">
        <w:rPr>
          <w:sz w:val="24"/>
          <w:szCs w:val="24"/>
        </w:rPr>
        <w:t xml:space="preserve">Coordinator </w:t>
      </w:r>
      <w:r w:rsidR="00F113A6" w:rsidRPr="00484B52">
        <w:rPr>
          <w:sz w:val="24"/>
          <w:szCs w:val="24"/>
        </w:rPr>
        <w:t>would</w:t>
      </w:r>
      <w:r w:rsidR="00B630AB" w:rsidRPr="00484B52">
        <w:rPr>
          <w:sz w:val="24"/>
          <w:szCs w:val="24"/>
        </w:rPr>
        <w:t xml:space="preserve"> monitor the number of individuals that would select</w:t>
      </w:r>
      <w:r w:rsidR="00484B52" w:rsidRPr="00484B52">
        <w:rPr>
          <w:sz w:val="24"/>
          <w:szCs w:val="24"/>
        </w:rPr>
        <w:t xml:space="preserve"> Urban Studies and P</w:t>
      </w:r>
      <w:r w:rsidR="00B630AB" w:rsidRPr="00484B52">
        <w:rPr>
          <w:sz w:val="24"/>
          <w:szCs w:val="24"/>
        </w:rPr>
        <w:t xml:space="preserve">lanning as a concentration over a two year period and </w:t>
      </w:r>
      <w:r>
        <w:rPr>
          <w:sz w:val="24"/>
          <w:szCs w:val="24"/>
        </w:rPr>
        <w:t>“</w:t>
      </w:r>
      <w:r w:rsidR="00B630AB" w:rsidRPr="00484B52">
        <w:rPr>
          <w:sz w:val="24"/>
          <w:szCs w:val="24"/>
        </w:rPr>
        <w:t>if the numbers increase then they may consider reinstating the</w:t>
      </w:r>
      <w:r w:rsidR="00681D8D">
        <w:rPr>
          <w:sz w:val="24"/>
          <w:szCs w:val="24"/>
        </w:rPr>
        <w:t xml:space="preserve"> Urban Studies and Planning Major</w:t>
      </w:r>
      <w:r>
        <w:rPr>
          <w:sz w:val="24"/>
          <w:szCs w:val="24"/>
        </w:rPr>
        <w:t>.”</w:t>
      </w:r>
      <w:r w:rsidR="00484B52" w:rsidRPr="00484B52">
        <w:rPr>
          <w:sz w:val="24"/>
          <w:szCs w:val="24"/>
        </w:rPr>
        <w:t xml:space="preserve"> </w:t>
      </w:r>
    </w:p>
    <w:p w:rsidR="00484B52" w:rsidRPr="00484B52" w:rsidRDefault="00484B52" w:rsidP="007B2BF0">
      <w:pPr>
        <w:rPr>
          <w:sz w:val="24"/>
          <w:szCs w:val="24"/>
        </w:rPr>
      </w:pPr>
    </w:p>
    <w:p w:rsidR="00B630AB" w:rsidRPr="00484B52" w:rsidRDefault="00484B52" w:rsidP="007B2BF0">
      <w:pPr>
        <w:rPr>
          <w:sz w:val="24"/>
          <w:szCs w:val="24"/>
        </w:rPr>
      </w:pPr>
      <w:r w:rsidRPr="00484B52">
        <w:rPr>
          <w:sz w:val="24"/>
          <w:szCs w:val="24"/>
        </w:rPr>
        <w:t xml:space="preserve">Graduate Council voted to deactivate </w:t>
      </w:r>
      <w:r w:rsidR="00896164">
        <w:rPr>
          <w:sz w:val="24"/>
          <w:szCs w:val="24"/>
        </w:rPr>
        <w:t xml:space="preserve">the Masters of </w:t>
      </w:r>
      <w:r w:rsidRPr="00484B52">
        <w:rPr>
          <w:sz w:val="24"/>
          <w:szCs w:val="24"/>
        </w:rPr>
        <w:t>Urban and Studies and Planning</w:t>
      </w:r>
      <w:r w:rsidR="00B630AB" w:rsidRPr="00484B52">
        <w:rPr>
          <w:sz w:val="24"/>
          <w:szCs w:val="24"/>
        </w:rPr>
        <w:t xml:space="preserve"> </w:t>
      </w:r>
    </w:p>
    <w:p w:rsidR="007B2BF0" w:rsidRPr="00484B52" w:rsidRDefault="007B2BF0" w:rsidP="007B2BF0">
      <w:pPr>
        <w:rPr>
          <w:sz w:val="24"/>
          <w:szCs w:val="24"/>
        </w:rPr>
      </w:pPr>
    </w:p>
    <w:p w:rsidR="007B2BF0" w:rsidRPr="00484B52" w:rsidRDefault="007B2BF0" w:rsidP="007B2BF0">
      <w:pPr>
        <w:rPr>
          <w:b/>
          <w:color w:val="1F497D"/>
          <w:sz w:val="24"/>
          <w:szCs w:val="24"/>
        </w:rPr>
      </w:pPr>
      <w:r w:rsidRPr="00484B52">
        <w:rPr>
          <w:rFonts w:ascii="Tahoma" w:hAnsi="Tahoma" w:cs="Tahoma"/>
          <w:b/>
          <w:sz w:val="24"/>
          <w:szCs w:val="24"/>
        </w:rPr>
        <w:t xml:space="preserve">TOEFL scores </w:t>
      </w:r>
    </w:p>
    <w:p w:rsidR="00F379D9" w:rsidRDefault="00484B52" w:rsidP="007B2BF0">
      <w:pPr>
        <w:rPr>
          <w:sz w:val="24"/>
          <w:szCs w:val="24"/>
        </w:rPr>
      </w:pPr>
      <w:r w:rsidRPr="00484B52">
        <w:rPr>
          <w:sz w:val="24"/>
          <w:szCs w:val="24"/>
        </w:rPr>
        <w:t xml:space="preserve">Dr. Ulysses Brown Email to the members of Graduate Council documents </w:t>
      </w:r>
      <w:r w:rsidR="00F379D9">
        <w:rPr>
          <w:sz w:val="24"/>
          <w:szCs w:val="24"/>
        </w:rPr>
        <w:t xml:space="preserve">pertaining to TOEFL </w:t>
      </w:r>
      <w:proofErr w:type="gramStart"/>
      <w:r w:rsidR="00F379D9">
        <w:rPr>
          <w:sz w:val="24"/>
          <w:szCs w:val="24"/>
        </w:rPr>
        <w:t>score</w:t>
      </w:r>
      <w:r w:rsidR="00896164">
        <w:rPr>
          <w:sz w:val="24"/>
          <w:szCs w:val="24"/>
        </w:rPr>
        <w:t xml:space="preserve"> ;</w:t>
      </w:r>
      <w:proofErr w:type="gramEnd"/>
      <w:r w:rsidR="00896164">
        <w:rPr>
          <w:sz w:val="24"/>
          <w:szCs w:val="24"/>
        </w:rPr>
        <w:t xml:space="preserve"> b</w:t>
      </w:r>
      <w:r w:rsidR="00F379D9">
        <w:rPr>
          <w:sz w:val="24"/>
          <w:szCs w:val="24"/>
        </w:rPr>
        <w:t xml:space="preserve">elow is a copy of the EMAIL </w:t>
      </w:r>
    </w:p>
    <w:p w:rsidR="00F379D9" w:rsidRDefault="00F379D9" w:rsidP="00F379D9">
      <w:pPr>
        <w:rPr>
          <w:rFonts w:ascii="Tahoma" w:eastAsia="Times New Roman" w:hAnsi="Tahoma" w:cs="Tahoma"/>
          <w:color w:val="000000"/>
          <w:sz w:val="24"/>
          <w:szCs w:val="24"/>
        </w:rPr>
      </w:pPr>
    </w:p>
    <w:p w:rsidR="00F379D9" w:rsidRDefault="00F379D9" w:rsidP="00F37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t>Dear Dr. Crawford:</w:t>
      </w:r>
    </w:p>
    <w:p w:rsidR="00F379D9" w:rsidRDefault="00F379D9" w:rsidP="00F37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79D9" w:rsidRDefault="00F379D9" w:rsidP="00F37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lastRenderedPageBreak/>
        <w:t xml:space="preserve">I would like to add our minimum TOEFL score to the agenda (internet-based test = 96). Our minimum </w:t>
      </w:r>
      <w:proofErr w:type="spellStart"/>
      <w:r>
        <w:rPr>
          <w:rFonts w:ascii="Tahoma" w:eastAsia="Times New Roman" w:hAnsi="Tahoma" w:cs="Tahoma"/>
          <w:sz w:val="24"/>
          <w:szCs w:val="24"/>
        </w:rPr>
        <w:t>ibt</w:t>
      </w:r>
      <w:proofErr w:type="spellEnd"/>
      <w:r>
        <w:rPr>
          <w:rFonts w:ascii="Tahoma" w:eastAsia="Times New Roman" w:hAnsi="Tahoma" w:cs="Tahoma"/>
          <w:sz w:val="24"/>
          <w:szCs w:val="24"/>
        </w:rPr>
        <w:t xml:space="preserve"> score seems high when compared to other universities and may unwittingly restrict our growth.</w:t>
      </w:r>
    </w:p>
    <w:p w:rsidR="00F379D9" w:rsidRDefault="00F379D9" w:rsidP="00F37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79D9" w:rsidRDefault="00F379D9" w:rsidP="00F37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Here are some examples of minimum TOEFL scores:</w:t>
      </w:r>
    </w:p>
    <w:p w:rsidR="00F379D9" w:rsidRDefault="00F379D9" w:rsidP="00F37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379D9" w:rsidRDefault="00F379D9" w:rsidP="00F37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Jackson State University, 79</w:t>
      </w:r>
    </w:p>
    <w:p w:rsidR="00F379D9" w:rsidRDefault="00F379D9" w:rsidP="00F37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Morgan State University, 79</w:t>
      </w:r>
    </w:p>
    <w:p w:rsidR="00F379D9" w:rsidRDefault="00F379D9" w:rsidP="00F37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Florida A&amp;M University, 79</w:t>
      </w:r>
    </w:p>
    <w:p w:rsidR="00F379D9" w:rsidRDefault="00F379D9" w:rsidP="00F37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Clark Atlanta University, 61</w:t>
      </w:r>
    </w:p>
    <w:p w:rsidR="00F379D9" w:rsidRDefault="00F379D9" w:rsidP="00F37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Florida State University, 80</w:t>
      </w:r>
    </w:p>
    <w:p w:rsidR="00F379D9" w:rsidRDefault="00F379D9" w:rsidP="00F37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Emory University, 79</w:t>
      </w:r>
    </w:p>
    <w:p w:rsidR="00F379D9" w:rsidRDefault="00F379D9" w:rsidP="00F37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Georgia Tech, 79</w:t>
      </w:r>
    </w:p>
    <w:p w:rsidR="00F379D9" w:rsidRDefault="00F379D9" w:rsidP="00F37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Georgia Southern, 80</w:t>
      </w:r>
    </w:p>
    <w:p w:rsidR="00F379D9" w:rsidRDefault="00F379D9" w:rsidP="00F37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Georgia State, 79 </w:t>
      </w:r>
    </w:p>
    <w:p w:rsidR="00F379D9" w:rsidRDefault="00F379D9" w:rsidP="00F37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UGA, 80</w:t>
      </w:r>
    </w:p>
    <w:p w:rsidR="00F379D9" w:rsidRDefault="00F379D9" w:rsidP="00F37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Armstrong Atlantic State University, 70</w:t>
      </w:r>
    </w:p>
    <w:p w:rsidR="00F379D9" w:rsidRDefault="00F379D9" w:rsidP="00F37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Auburn University, 80</w:t>
      </w:r>
    </w:p>
    <w:p w:rsidR="00F379D9" w:rsidRDefault="00F379D9" w:rsidP="00F37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Arizona State University, 83</w:t>
      </w:r>
    </w:p>
    <w:p w:rsidR="00F379D9" w:rsidRDefault="00F379D9" w:rsidP="00F37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Syracuse University, 79</w:t>
      </w:r>
    </w:p>
    <w:p w:rsidR="00F379D9" w:rsidRDefault="00F379D9" w:rsidP="00F37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Brown University, 90</w:t>
      </w:r>
    </w:p>
    <w:p w:rsidR="00F379D9" w:rsidRDefault="00F379D9" w:rsidP="00F379D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81D8D" w:rsidRDefault="00681D8D" w:rsidP="00F379D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379D9" w:rsidRDefault="00F379D9" w:rsidP="007B2BF0">
      <w:pPr>
        <w:rPr>
          <w:sz w:val="24"/>
          <w:szCs w:val="24"/>
        </w:rPr>
      </w:pPr>
    </w:p>
    <w:p w:rsidR="007B2BF0" w:rsidRPr="00484B52" w:rsidRDefault="00484B52" w:rsidP="007B2BF0">
      <w:pPr>
        <w:rPr>
          <w:color w:val="1F497D"/>
          <w:sz w:val="24"/>
          <w:szCs w:val="24"/>
        </w:rPr>
      </w:pPr>
      <w:r w:rsidRPr="00484B52">
        <w:rPr>
          <w:sz w:val="24"/>
          <w:szCs w:val="24"/>
        </w:rPr>
        <w:t xml:space="preserve"> SSU’s</w:t>
      </w:r>
      <w:r w:rsidR="003F43B3">
        <w:rPr>
          <w:sz w:val="24"/>
          <w:szCs w:val="24"/>
        </w:rPr>
        <w:t xml:space="preserve"> present Internet-based test is</w:t>
      </w:r>
      <w:r w:rsidRPr="00484B52">
        <w:rPr>
          <w:sz w:val="24"/>
          <w:szCs w:val="24"/>
        </w:rPr>
        <w:t xml:space="preserve"> 96. Graduate Council voted to change the internet-based test score from 96 to 79</w:t>
      </w:r>
      <w:r w:rsidRPr="00484B52">
        <w:rPr>
          <w:color w:val="1F497D"/>
          <w:sz w:val="24"/>
          <w:szCs w:val="24"/>
        </w:rPr>
        <w:t xml:space="preserve">.  </w:t>
      </w:r>
    </w:p>
    <w:p w:rsidR="00484B52" w:rsidRDefault="00484B52" w:rsidP="007B2BF0">
      <w:pPr>
        <w:rPr>
          <w:sz w:val="24"/>
          <w:szCs w:val="24"/>
        </w:rPr>
      </w:pPr>
    </w:p>
    <w:p w:rsidR="007B2BF0" w:rsidRPr="00F379D9" w:rsidRDefault="007B2BF0" w:rsidP="007B2BF0">
      <w:pPr>
        <w:rPr>
          <w:b/>
          <w:sz w:val="24"/>
          <w:szCs w:val="24"/>
        </w:rPr>
      </w:pPr>
      <w:r w:rsidRPr="00F379D9">
        <w:rPr>
          <w:b/>
          <w:sz w:val="24"/>
          <w:szCs w:val="24"/>
        </w:rPr>
        <w:t>Other Curriculum items</w:t>
      </w:r>
    </w:p>
    <w:p w:rsidR="00484B52" w:rsidRPr="00484B52" w:rsidRDefault="00484B52" w:rsidP="007B2BF0">
      <w:pPr>
        <w:rPr>
          <w:sz w:val="24"/>
          <w:szCs w:val="24"/>
        </w:rPr>
      </w:pPr>
      <w:r>
        <w:rPr>
          <w:sz w:val="24"/>
          <w:szCs w:val="24"/>
        </w:rPr>
        <w:t>Dr. Leseane was concern about the criteria to obtain graduate Faculty status</w:t>
      </w:r>
      <w:r w:rsidR="003F43B3">
        <w:rPr>
          <w:sz w:val="24"/>
          <w:szCs w:val="24"/>
        </w:rPr>
        <w:t xml:space="preserve"> for professional faculty</w:t>
      </w:r>
      <w:r>
        <w:rPr>
          <w:sz w:val="24"/>
          <w:szCs w:val="24"/>
        </w:rPr>
        <w:t xml:space="preserve">.  </w:t>
      </w:r>
      <w:r w:rsidR="003F43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There were </w:t>
      </w:r>
      <w:r w:rsidR="003F43B3">
        <w:rPr>
          <w:sz w:val="24"/>
          <w:szCs w:val="24"/>
        </w:rPr>
        <w:t xml:space="preserve">no </w:t>
      </w:r>
      <w:r>
        <w:rPr>
          <w:sz w:val="24"/>
          <w:szCs w:val="24"/>
        </w:rPr>
        <w:t xml:space="preserve">written </w:t>
      </w:r>
      <w:r w:rsidR="003F43B3">
        <w:rPr>
          <w:sz w:val="24"/>
          <w:szCs w:val="24"/>
        </w:rPr>
        <w:t>requirements for individuals who were</w:t>
      </w:r>
      <w:r>
        <w:rPr>
          <w:sz w:val="24"/>
          <w:szCs w:val="24"/>
        </w:rPr>
        <w:t xml:space="preserve"> professionally qualified. Dr. Crawford indicated that there </w:t>
      </w:r>
      <w:r w:rsidR="003F43B3">
        <w:rPr>
          <w:sz w:val="24"/>
          <w:szCs w:val="24"/>
        </w:rPr>
        <w:t>was a requirement</w:t>
      </w:r>
      <w:r>
        <w:rPr>
          <w:sz w:val="24"/>
          <w:szCs w:val="24"/>
        </w:rPr>
        <w:t xml:space="preserve"> written for professionally qualified </w:t>
      </w:r>
      <w:r w:rsidR="00681D8D">
        <w:rPr>
          <w:sz w:val="24"/>
          <w:szCs w:val="24"/>
        </w:rPr>
        <w:t>faculty but</w:t>
      </w:r>
      <w:r w:rsidR="003F43B3">
        <w:rPr>
          <w:sz w:val="24"/>
          <w:szCs w:val="24"/>
        </w:rPr>
        <w:t xml:space="preserve"> it did not meet the satisfaction of the Vice President of Academic Affairs. </w:t>
      </w:r>
    </w:p>
    <w:p w:rsidR="007B2BF0" w:rsidRPr="00484B52" w:rsidRDefault="007B2BF0" w:rsidP="007B2BF0">
      <w:pPr>
        <w:rPr>
          <w:sz w:val="24"/>
          <w:szCs w:val="24"/>
        </w:rPr>
      </w:pPr>
    </w:p>
    <w:p w:rsidR="007B2BF0" w:rsidRDefault="007B2BF0" w:rsidP="007B2BF0">
      <w:pPr>
        <w:rPr>
          <w:sz w:val="24"/>
          <w:szCs w:val="24"/>
        </w:rPr>
      </w:pPr>
      <w:r w:rsidRPr="00484B52">
        <w:rPr>
          <w:sz w:val="24"/>
          <w:szCs w:val="24"/>
        </w:rPr>
        <w:t>Announcement</w:t>
      </w:r>
    </w:p>
    <w:p w:rsidR="003F43B3" w:rsidRPr="00484B52" w:rsidRDefault="003F43B3" w:rsidP="007B2BF0">
      <w:pPr>
        <w:rPr>
          <w:sz w:val="24"/>
          <w:szCs w:val="24"/>
        </w:rPr>
      </w:pPr>
      <w:r>
        <w:rPr>
          <w:sz w:val="24"/>
          <w:szCs w:val="24"/>
        </w:rPr>
        <w:t>No Announcements</w:t>
      </w:r>
    </w:p>
    <w:p w:rsidR="007B2BF0" w:rsidRPr="00484B52" w:rsidRDefault="007B2BF0" w:rsidP="007B2BF0">
      <w:pPr>
        <w:rPr>
          <w:sz w:val="24"/>
          <w:szCs w:val="24"/>
        </w:rPr>
      </w:pPr>
    </w:p>
    <w:p w:rsidR="003F43B3" w:rsidRPr="00484B52" w:rsidRDefault="007B2BF0" w:rsidP="007B2BF0">
      <w:pPr>
        <w:rPr>
          <w:sz w:val="24"/>
          <w:szCs w:val="24"/>
        </w:rPr>
      </w:pPr>
      <w:r w:rsidRPr="00484B52">
        <w:rPr>
          <w:sz w:val="24"/>
          <w:szCs w:val="24"/>
        </w:rPr>
        <w:t>Adjournment</w:t>
      </w:r>
    </w:p>
    <w:p w:rsidR="007B2BF0" w:rsidRPr="00484B52" w:rsidRDefault="007B2BF0" w:rsidP="007B2BF0">
      <w:pPr>
        <w:rPr>
          <w:sz w:val="24"/>
          <w:szCs w:val="24"/>
        </w:rPr>
      </w:pPr>
    </w:p>
    <w:p w:rsidR="003020D8" w:rsidRPr="00484B52" w:rsidRDefault="00896164">
      <w:pPr>
        <w:rPr>
          <w:sz w:val="24"/>
          <w:szCs w:val="24"/>
        </w:rPr>
      </w:pPr>
      <w:r>
        <w:rPr>
          <w:sz w:val="24"/>
          <w:szCs w:val="24"/>
        </w:rPr>
        <w:t>The meeting adjourned at 5:45 PM</w:t>
      </w:r>
    </w:p>
    <w:sectPr w:rsidR="003020D8" w:rsidRPr="00484B52" w:rsidSect="006D3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compat/>
  <w:rsids>
    <w:rsidRoot w:val="007B2BF0"/>
    <w:rsid w:val="00283167"/>
    <w:rsid w:val="003111DD"/>
    <w:rsid w:val="003F43B3"/>
    <w:rsid w:val="00484B52"/>
    <w:rsid w:val="004C266E"/>
    <w:rsid w:val="00681D8D"/>
    <w:rsid w:val="006D3593"/>
    <w:rsid w:val="007B2BF0"/>
    <w:rsid w:val="00896164"/>
    <w:rsid w:val="008A0026"/>
    <w:rsid w:val="009C78EC"/>
    <w:rsid w:val="009F35AF"/>
    <w:rsid w:val="00B630AB"/>
    <w:rsid w:val="00F113A6"/>
    <w:rsid w:val="00F37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BF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Crawford</dc:creator>
  <cp:keywords/>
  <dc:description/>
  <cp:lastModifiedBy>Emily Crawford</cp:lastModifiedBy>
  <cp:revision>6</cp:revision>
  <cp:lastPrinted>2010-10-18T16:00:00Z</cp:lastPrinted>
  <dcterms:created xsi:type="dcterms:W3CDTF">2010-11-09T15:40:00Z</dcterms:created>
  <dcterms:modified xsi:type="dcterms:W3CDTF">2010-11-09T19:32:00Z</dcterms:modified>
</cp:coreProperties>
</file>