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3E" w:rsidRPr="00A93256" w:rsidRDefault="00A23E3E" w:rsidP="00A23E3E">
      <w:pPr>
        <w:rPr>
          <w:rFonts w:ascii="Cambria" w:hAnsi="Cambria"/>
          <w:b/>
          <w:bCs/>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890"/>
        <w:gridCol w:w="3420"/>
      </w:tblGrid>
      <w:tr w:rsidR="00C112BE" w:rsidRPr="00120456" w:rsidTr="00C112BE">
        <w:trPr>
          <w:trHeight w:val="218"/>
        </w:trPr>
        <w:tc>
          <w:tcPr>
            <w:tcW w:w="5688" w:type="dxa"/>
            <w:gridSpan w:val="2"/>
          </w:tcPr>
          <w:p w:rsidR="00C112BE" w:rsidRPr="00120456" w:rsidRDefault="00596142" w:rsidP="009271EF">
            <w:pPr>
              <w:pStyle w:val="Default"/>
              <w:rPr>
                <w:rFonts w:ascii="Cambria" w:hAnsi="Cambria"/>
              </w:rPr>
            </w:pPr>
            <w:r>
              <w:rPr>
                <w:rFonts w:ascii="Cambria" w:hAnsi="Cambria"/>
                <w:b/>
              </w:rPr>
              <w:t>Process Name</w:t>
            </w:r>
            <w:r w:rsidR="00C112BE" w:rsidRPr="00120456">
              <w:rPr>
                <w:rFonts w:ascii="Cambria" w:hAnsi="Cambria"/>
                <w:b/>
              </w:rPr>
              <w:t>:</w:t>
            </w:r>
            <w:r w:rsidR="00C112BE" w:rsidRPr="00120456">
              <w:rPr>
                <w:rFonts w:ascii="Cambria" w:hAnsi="Cambria"/>
              </w:rPr>
              <w:t xml:space="preserve">  </w:t>
            </w:r>
            <w:r w:rsidR="009271EF">
              <w:rPr>
                <w:rFonts w:ascii="Cambria" w:hAnsi="Cambria"/>
              </w:rPr>
              <w:fldChar w:fldCharType="begin"/>
            </w:r>
            <w:r w:rsidR="009271EF">
              <w:rPr>
                <w:rFonts w:ascii="Cambria" w:hAnsi="Cambria"/>
              </w:rPr>
              <w:instrText xml:space="preserve"> DOCVARIABLE "Document Title" \* MERGEFORMAT </w:instrText>
            </w:r>
            <w:r w:rsidR="009271EF">
              <w:rPr>
                <w:rFonts w:ascii="Cambria" w:hAnsi="Cambria"/>
              </w:rPr>
              <w:fldChar w:fldCharType="separate"/>
            </w:r>
            <w:r w:rsidR="00052A6C">
              <w:rPr>
                <w:rFonts w:ascii="Cambria" w:hAnsi="Cambria"/>
              </w:rPr>
              <w:t>Document Title</w:t>
            </w:r>
            <w:r w:rsidR="009271EF">
              <w:rPr>
                <w:rFonts w:ascii="Cambria" w:hAnsi="Cambria"/>
              </w:rPr>
              <w:fldChar w:fldCharType="end"/>
            </w:r>
          </w:p>
        </w:tc>
        <w:tc>
          <w:tcPr>
            <w:tcW w:w="3420" w:type="dxa"/>
          </w:tcPr>
          <w:p w:rsidR="00C112BE" w:rsidRPr="00120456" w:rsidRDefault="00C112BE" w:rsidP="00120456">
            <w:pPr>
              <w:pStyle w:val="Default"/>
              <w:rPr>
                <w:rFonts w:ascii="Cambria" w:hAnsi="Cambria"/>
              </w:rPr>
            </w:pPr>
            <w:r w:rsidRPr="00120456">
              <w:rPr>
                <w:rFonts w:ascii="Cambria" w:hAnsi="Cambria"/>
                <w:b/>
              </w:rPr>
              <w:t>Date Created</w:t>
            </w:r>
            <w:r w:rsidRPr="00120456">
              <w:rPr>
                <w:rFonts w:ascii="Cambria" w:hAnsi="Cambria"/>
              </w:rPr>
              <w:t>:</w:t>
            </w:r>
            <w:r w:rsidR="009271EF">
              <w:rPr>
                <w:rFonts w:ascii="Cambria" w:hAnsi="Cambria"/>
              </w:rPr>
              <w:t xml:space="preserve"> </w:t>
            </w:r>
            <w:r w:rsidR="009271EF">
              <w:rPr>
                <w:rFonts w:ascii="Cambria" w:hAnsi="Cambria"/>
              </w:rPr>
              <w:fldChar w:fldCharType="begin"/>
            </w:r>
            <w:r w:rsidR="009271EF">
              <w:rPr>
                <w:rFonts w:ascii="Cambria" w:hAnsi="Cambria"/>
              </w:rPr>
              <w:instrText xml:space="preserve"> DOCVARIABLE "Date Created" \* MERGEFORMAT </w:instrText>
            </w:r>
            <w:r w:rsidR="009271EF">
              <w:rPr>
                <w:rFonts w:ascii="Cambria" w:hAnsi="Cambria"/>
              </w:rPr>
              <w:fldChar w:fldCharType="separate"/>
            </w:r>
            <w:r w:rsidR="00052A6C">
              <w:rPr>
                <w:rFonts w:ascii="Cambria" w:hAnsi="Cambria"/>
              </w:rPr>
              <w:t>Date Created</w:t>
            </w:r>
            <w:r w:rsidR="009271EF">
              <w:rPr>
                <w:rFonts w:ascii="Cambria" w:hAnsi="Cambria"/>
              </w:rPr>
              <w:fldChar w:fldCharType="end"/>
            </w:r>
          </w:p>
        </w:tc>
      </w:tr>
      <w:tr w:rsidR="0046107E" w:rsidRPr="00120456" w:rsidTr="00C112BE">
        <w:trPr>
          <w:trHeight w:val="218"/>
        </w:trPr>
        <w:tc>
          <w:tcPr>
            <w:tcW w:w="5688" w:type="dxa"/>
            <w:gridSpan w:val="2"/>
          </w:tcPr>
          <w:p w:rsidR="0046107E" w:rsidRPr="00120456" w:rsidRDefault="00C112BE" w:rsidP="009271EF">
            <w:pPr>
              <w:pStyle w:val="Default"/>
              <w:rPr>
                <w:rFonts w:ascii="Cambria" w:hAnsi="Cambria"/>
              </w:rPr>
            </w:pPr>
            <w:r w:rsidRPr="00120456">
              <w:rPr>
                <w:rFonts w:ascii="Cambria" w:hAnsi="Cambria"/>
                <w:b/>
              </w:rPr>
              <w:t>Functional Area</w:t>
            </w:r>
            <w:r w:rsidRPr="00120456">
              <w:rPr>
                <w:rFonts w:ascii="Cambria" w:hAnsi="Cambria"/>
              </w:rPr>
              <w:t xml:space="preserve">: </w:t>
            </w:r>
            <w:r w:rsidR="009271EF">
              <w:rPr>
                <w:rFonts w:ascii="Cambria" w:hAnsi="Cambria"/>
              </w:rPr>
              <w:fldChar w:fldCharType="begin"/>
            </w:r>
            <w:r w:rsidR="009271EF">
              <w:rPr>
                <w:rFonts w:ascii="Cambria" w:hAnsi="Cambria"/>
              </w:rPr>
              <w:instrText xml:space="preserve"> DOCVARIABLE "Category Titles" \* MERGEFORMAT </w:instrText>
            </w:r>
            <w:r w:rsidR="009271EF">
              <w:rPr>
                <w:rFonts w:ascii="Cambria" w:hAnsi="Cambria"/>
              </w:rPr>
              <w:fldChar w:fldCharType="separate"/>
            </w:r>
            <w:r w:rsidR="00731551">
              <w:rPr>
                <w:rFonts w:ascii="Cambria" w:hAnsi="Cambria"/>
              </w:rPr>
              <w:t>Category Titles</w:t>
            </w:r>
            <w:r w:rsidR="009271EF">
              <w:rPr>
                <w:rFonts w:ascii="Cambria" w:hAnsi="Cambria"/>
              </w:rPr>
              <w:fldChar w:fldCharType="end"/>
            </w:r>
          </w:p>
        </w:tc>
        <w:tc>
          <w:tcPr>
            <w:tcW w:w="3420" w:type="dxa"/>
          </w:tcPr>
          <w:p w:rsidR="0046107E" w:rsidRPr="00120456" w:rsidRDefault="00A23E3E" w:rsidP="000D2546">
            <w:pPr>
              <w:pStyle w:val="Default"/>
              <w:rPr>
                <w:rFonts w:ascii="Cambria" w:hAnsi="Cambria"/>
              </w:rPr>
            </w:pPr>
            <w:r w:rsidRPr="00120456">
              <w:rPr>
                <w:rFonts w:ascii="Cambria" w:hAnsi="Cambria"/>
                <w:b/>
              </w:rPr>
              <w:t>Last Updated</w:t>
            </w:r>
            <w:r w:rsidRPr="00120456">
              <w:rPr>
                <w:rFonts w:ascii="Cambria" w:hAnsi="Cambria"/>
              </w:rPr>
              <w:t>:</w:t>
            </w:r>
            <w:r w:rsidRPr="00120456">
              <w:rPr>
                <w:rFonts w:ascii="Cambria" w:hAnsi="Cambria"/>
                <w:bCs/>
              </w:rPr>
              <w:t xml:space="preserve"> </w:t>
            </w:r>
            <w:r w:rsidR="000D2546">
              <w:rPr>
                <w:rFonts w:ascii="Cambria" w:hAnsi="Cambria"/>
                <w:bCs/>
              </w:rPr>
              <w:t>Updated Date</w:t>
            </w:r>
          </w:p>
        </w:tc>
      </w:tr>
      <w:tr w:rsidR="0046107E" w:rsidRPr="00120456" w:rsidTr="00120456">
        <w:trPr>
          <w:trHeight w:val="218"/>
        </w:trPr>
        <w:tc>
          <w:tcPr>
            <w:tcW w:w="9108" w:type="dxa"/>
            <w:gridSpan w:val="3"/>
          </w:tcPr>
          <w:p w:rsidR="0046107E" w:rsidRPr="00120456" w:rsidRDefault="0046107E" w:rsidP="00C112BE">
            <w:pPr>
              <w:pStyle w:val="Default"/>
              <w:rPr>
                <w:rFonts w:ascii="Cambria" w:hAnsi="Cambria"/>
              </w:rPr>
            </w:pPr>
            <w:r w:rsidRPr="00120456">
              <w:rPr>
                <w:rFonts w:ascii="Cambria" w:hAnsi="Cambria"/>
                <w:b/>
              </w:rPr>
              <w:t>Purpose</w:t>
            </w:r>
            <w:r w:rsidRPr="00120456">
              <w:rPr>
                <w:rFonts w:ascii="Cambria" w:hAnsi="Cambria"/>
              </w:rPr>
              <w:t xml:space="preserve">: </w:t>
            </w:r>
            <w:r w:rsidR="00B3403A" w:rsidRPr="00A93256">
              <w:rPr>
                <w:rFonts w:ascii="Cambria" w:eastAsia="Times New Roman" w:hAnsi="Cambria"/>
                <w:bCs/>
              </w:rPr>
              <w:t>To ensure that additions to fixed assets are properly recorded in the fixed assets inventory and identified with an equipment tag</w:t>
            </w:r>
          </w:p>
        </w:tc>
      </w:tr>
      <w:tr w:rsidR="0046107E" w:rsidRPr="00120456" w:rsidTr="00120456">
        <w:trPr>
          <w:trHeight w:val="218"/>
        </w:trPr>
        <w:tc>
          <w:tcPr>
            <w:tcW w:w="9108" w:type="dxa"/>
            <w:gridSpan w:val="3"/>
          </w:tcPr>
          <w:p w:rsidR="0046107E" w:rsidRPr="00120456" w:rsidRDefault="00A23E3E" w:rsidP="00A23E3E">
            <w:pPr>
              <w:pStyle w:val="Default"/>
              <w:rPr>
                <w:rFonts w:ascii="Cambria" w:hAnsi="Cambria"/>
              </w:rPr>
            </w:pPr>
            <w:r w:rsidRPr="00120456">
              <w:rPr>
                <w:rFonts w:ascii="Cambria" w:hAnsi="Cambria"/>
                <w:b/>
              </w:rPr>
              <w:t>Documents</w:t>
            </w:r>
            <w:r w:rsidR="00CE0984" w:rsidRPr="00120456">
              <w:rPr>
                <w:rFonts w:ascii="Cambria" w:hAnsi="Cambria"/>
                <w:b/>
              </w:rPr>
              <w:t xml:space="preserve"> (Info)</w:t>
            </w:r>
            <w:r w:rsidR="00B3403A" w:rsidRPr="00120456">
              <w:rPr>
                <w:rFonts w:ascii="Cambria" w:hAnsi="Cambria"/>
                <w:b/>
              </w:rPr>
              <w:t xml:space="preserve"> Needed</w:t>
            </w:r>
            <w:r w:rsidRPr="00120456">
              <w:rPr>
                <w:rFonts w:ascii="Cambria" w:hAnsi="Cambria"/>
              </w:rPr>
              <w:t>:</w:t>
            </w:r>
            <w:r w:rsidR="0046107E" w:rsidRPr="00120456">
              <w:rPr>
                <w:rFonts w:ascii="Cambria" w:hAnsi="Cambria"/>
              </w:rPr>
              <w:t xml:space="preserve"> </w:t>
            </w:r>
          </w:p>
        </w:tc>
      </w:tr>
      <w:tr w:rsidR="0046107E" w:rsidRPr="00120456" w:rsidTr="00A23E3E">
        <w:trPr>
          <w:trHeight w:val="218"/>
        </w:trPr>
        <w:tc>
          <w:tcPr>
            <w:tcW w:w="3798" w:type="dxa"/>
          </w:tcPr>
          <w:p w:rsidR="0046107E" w:rsidRPr="0036626E" w:rsidRDefault="0046107E" w:rsidP="00120456">
            <w:pPr>
              <w:pStyle w:val="Default"/>
              <w:rPr>
                <w:rFonts w:ascii="Cambria" w:hAnsi="Cambria"/>
                <w:b/>
              </w:rPr>
            </w:pPr>
            <w:r w:rsidRPr="0036626E">
              <w:rPr>
                <w:rFonts w:ascii="Cambria" w:hAnsi="Cambria"/>
                <w:b/>
              </w:rPr>
              <w:t xml:space="preserve">Primary Position Responsible: </w:t>
            </w:r>
          </w:p>
        </w:tc>
        <w:tc>
          <w:tcPr>
            <w:tcW w:w="5310" w:type="dxa"/>
            <w:gridSpan w:val="2"/>
          </w:tcPr>
          <w:p w:rsidR="0046107E" w:rsidRPr="0036626E" w:rsidRDefault="009271EF" w:rsidP="009271EF">
            <w:pPr>
              <w:pStyle w:val="Default"/>
              <w:rPr>
                <w:rFonts w:ascii="Cambria" w:hAnsi="Cambria"/>
              </w:rPr>
            </w:pPr>
            <w:r w:rsidRPr="0036626E">
              <w:rPr>
                <w:rFonts w:ascii="Cambria" w:hAnsi="Cambria"/>
              </w:rPr>
              <w:t>Indicate the Position Responsible not an Employee Name Here</w:t>
            </w:r>
            <w:r w:rsidR="0036626E">
              <w:rPr>
                <w:rFonts w:ascii="Cambria" w:hAnsi="Cambria"/>
              </w:rPr>
              <w:t xml:space="preserve"> (Replace Text*)</w:t>
            </w:r>
          </w:p>
        </w:tc>
      </w:tr>
      <w:tr w:rsidR="0046107E" w:rsidRPr="00120456" w:rsidTr="00A23E3E">
        <w:trPr>
          <w:trHeight w:val="218"/>
        </w:trPr>
        <w:tc>
          <w:tcPr>
            <w:tcW w:w="3798" w:type="dxa"/>
          </w:tcPr>
          <w:p w:rsidR="0046107E" w:rsidRPr="0036626E" w:rsidRDefault="0046107E" w:rsidP="00120456">
            <w:pPr>
              <w:pStyle w:val="Default"/>
              <w:rPr>
                <w:rFonts w:ascii="Cambria" w:hAnsi="Cambria"/>
                <w:b/>
              </w:rPr>
            </w:pPr>
            <w:r w:rsidRPr="0036626E">
              <w:rPr>
                <w:rFonts w:ascii="Cambria" w:hAnsi="Cambria"/>
                <w:b/>
              </w:rPr>
              <w:t xml:space="preserve">Reviewed By &lt;or&gt; Reviewed By: </w:t>
            </w:r>
          </w:p>
        </w:tc>
        <w:tc>
          <w:tcPr>
            <w:tcW w:w="5310" w:type="dxa"/>
            <w:gridSpan w:val="2"/>
          </w:tcPr>
          <w:p w:rsidR="0046107E" w:rsidRPr="0036626E" w:rsidRDefault="009271EF" w:rsidP="00120456">
            <w:pPr>
              <w:pStyle w:val="Default"/>
              <w:rPr>
                <w:rFonts w:ascii="Cambria" w:hAnsi="Cambria"/>
              </w:rPr>
            </w:pPr>
            <w:r w:rsidRPr="0036626E">
              <w:rPr>
                <w:rFonts w:ascii="Cambria" w:hAnsi="Cambria"/>
              </w:rPr>
              <w:t>Indicate the Position Responsible not an Employee Name Here</w:t>
            </w:r>
            <w:r w:rsidR="0036626E">
              <w:rPr>
                <w:rFonts w:ascii="Cambria" w:hAnsi="Cambria"/>
              </w:rPr>
              <w:t xml:space="preserve"> (Replace Text*)</w:t>
            </w:r>
          </w:p>
        </w:tc>
      </w:tr>
      <w:tr w:rsidR="0046107E" w:rsidRPr="00120456" w:rsidTr="00A23E3E">
        <w:trPr>
          <w:trHeight w:val="218"/>
        </w:trPr>
        <w:tc>
          <w:tcPr>
            <w:tcW w:w="3798" w:type="dxa"/>
          </w:tcPr>
          <w:p w:rsidR="0046107E" w:rsidRPr="0036626E" w:rsidRDefault="0046107E" w:rsidP="00120456">
            <w:pPr>
              <w:pStyle w:val="Default"/>
              <w:rPr>
                <w:rFonts w:ascii="Cambria" w:hAnsi="Cambria"/>
                <w:b/>
              </w:rPr>
            </w:pPr>
            <w:r w:rsidRPr="0036626E">
              <w:rPr>
                <w:rFonts w:ascii="Cambria" w:hAnsi="Cambria"/>
                <w:b/>
              </w:rPr>
              <w:t xml:space="preserve">Process Frequency: </w:t>
            </w:r>
          </w:p>
        </w:tc>
        <w:tc>
          <w:tcPr>
            <w:tcW w:w="5310" w:type="dxa"/>
            <w:gridSpan w:val="2"/>
          </w:tcPr>
          <w:p w:rsidR="0046107E" w:rsidRPr="0036626E" w:rsidRDefault="009271EF" w:rsidP="00120456">
            <w:pPr>
              <w:pStyle w:val="Default"/>
              <w:rPr>
                <w:rFonts w:ascii="Cambria" w:hAnsi="Cambria"/>
              </w:rPr>
            </w:pPr>
            <w:r w:rsidRPr="0036626E">
              <w:rPr>
                <w:rFonts w:ascii="Cambria" w:hAnsi="Cambria"/>
              </w:rPr>
              <w:t>How often is this process performed, if applicable</w:t>
            </w:r>
            <w:r w:rsidR="0036626E">
              <w:rPr>
                <w:rFonts w:ascii="Cambria" w:hAnsi="Cambria"/>
              </w:rPr>
              <w:t>*</w:t>
            </w:r>
          </w:p>
        </w:tc>
      </w:tr>
      <w:tr w:rsidR="0046107E" w:rsidRPr="00120456" w:rsidTr="00120456">
        <w:trPr>
          <w:trHeight w:val="218"/>
        </w:trPr>
        <w:tc>
          <w:tcPr>
            <w:tcW w:w="9108" w:type="dxa"/>
            <w:gridSpan w:val="3"/>
          </w:tcPr>
          <w:p w:rsidR="0046107E" w:rsidRPr="0036626E" w:rsidRDefault="0046107E" w:rsidP="00120456">
            <w:pPr>
              <w:pStyle w:val="Default"/>
              <w:rPr>
                <w:rFonts w:ascii="Cambria" w:hAnsi="Cambria"/>
              </w:rPr>
            </w:pPr>
            <w:r w:rsidRPr="0036626E">
              <w:rPr>
                <w:rFonts w:ascii="Cambria" w:hAnsi="Cambria"/>
                <w:b/>
              </w:rPr>
              <w:t>Prerequisite Process:</w:t>
            </w:r>
            <w:r w:rsidRPr="0036626E">
              <w:rPr>
                <w:rFonts w:ascii="Cambria" w:hAnsi="Cambria"/>
              </w:rPr>
              <w:t xml:space="preserve"> </w:t>
            </w:r>
            <w:r w:rsidR="009271EF" w:rsidRPr="0036626E">
              <w:rPr>
                <w:rFonts w:ascii="Cambria" w:hAnsi="Cambria"/>
              </w:rPr>
              <w:t xml:space="preserve">  Should any other policy be followed first, if so list here</w:t>
            </w:r>
            <w:r w:rsidR="0036626E">
              <w:rPr>
                <w:rFonts w:ascii="Cambria" w:hAnsi="Cambria"/>
              </w:rPr>
              <w:t>*</w:t>
            </w:r>
          </w:p>
        </w:tc>
      </w:tr>
      <w:tr w:rsidR="0046107E" w:rsidRPr="00120456" w:rsidTr="00120456">
        <w:trPr>
          <w:trHeight w:val="218"/>
        </w:trPr>
        <w:tc>
          <w:tcPr>
            <w:tcW w:w="9108" w:type="dxa"/>
            <w:gridSpan w:val="3"/>
          </w:tcPr>
          <w:p w:rsidR="0046107E" w:rsidRPr="0036626E" w:rsidRDefault="0046107E" w:rsidP="00120456">
            <w:pPr>
              <w:pStyle w:val="Default"/>
              <w:rPr>
                <w:rFonts w:ascii="Cambria" w:hAnsi="Cambria"/>
              </w:rPr>
            </w:pPr>
            <w:r w:rsidRPr="0036626E">
              <w:rPr>
                <w:rFonts w:ascii="Cambria" w:hAnsi="Cambria"/>
                <w:b/>
              </w:rPr>
              <w:t>Subsequent Process:</w:t>
            </w:r>
            <w:r w:rsidRPr="0036626E">
              <w:rPr>
                <w:rFonts w:ascii="Cambria" w:hAnsi="Cambria"/>
              </w:rPr>
              <w:t xml:space="preserve"> </w:t>
            </w:r>
            <w:r w:rsidR="009271EF" w:rsidRPr="0036626E">
              <w:rPr>
                <w:rFonts w:ascii="Cambria" w:hAnsi="Cambria"/>
              </w:rPr>
              <w:t xml:space="preserve">  Does any other policy be followed after this one, if so list here</w:t>
            </w:r>
            <w:r w:rsidR="0036626E">
              <w:rPr>
                <w:rFonts w:ascii="Cambria" w:hAnsi="Cambria"/>
              </w:rPr>
              <w:t>*</w:t>
            </w:r>
          </w:p>
        </w:tc>
      </w:tr>
      <w:tr w:rsidR="00AE1A42" w:rsidRPr="00120456" w:rsidTr="00120456">
        <w:trPr>
          <w:trHeight w:val="218"/>
        </w:trPr>
        <w:tc>
          <w:tcPr>
            <w:tcW w:w="9108" w:type="dxa"/>
            <w:gridSpan w:val="3"/>
          </w:tcPr>
          <w:p w:rsidR="00AE1A42" w:rsidRPr="0036626E" w:rsidRDefault="00AE1A42" w:rsidP="00120456">
            <w:pPr>
              <w:pStyle w:val="Default"/>
              <w:rPr>
                <w:rFonts w:ascii="Cambria" w:hAnsi="Cambria"/>
                <w:b/>
              </w:rPr>
            </w:pPr>
            <w:r>
              <w:rPr>
                <w:rFonts w:ascii="Cambria" w:hAnsi="Cambria"/>
                <w:b/>
              </w:rPr>
              <w:t xml:space="preserve">Corresponding Policy: </w:t>
            </w:r>
          </w:p>
        </w:tc>
      </w:tr>
    </w:tbl>
    <w:p w:rsidR="0046107E" w:rsidRPr="00A93256" w:rsidRDefault="0046107E" w:rsidP="0046107E">
      <w:pPr>
        <w:rPr>
          <w:rFonts w:ascii="Cambria" w:hAnsi="Cambria"/>
          <w:b/>
          <w:bCs/>
          <w:sz w:val="24"/>
          <w:szCs w:val="24"/>
        </w:rPr>
      </w:pPr>
    </w:p>
    <w:p w:rsidR="00A93256" w:rsidRPr="00A93256" w:rsidRDefault="00A93256" w:rsidP="00B3403A">
      <w:pPr>
        <w:rPr>
          <w:rStyle w:val="Strong"/>
          <w:rFonts w:ascii="Cambria" w:hAnsi="Cambria" w:cs="Arial"/>
          <w:b w:val="0"/>
          <w:sz w:val="24"/>
          <w:szCs w:val="24"/>
        </w:rPr>
      </w:pPr>
    </w:p>
    <w:p w:rsidR="00A93256" w:rsidRPr="00A93256" w:rsidRDefault="00A93256" w:rsidP="00B3403A">
      <w:pPr>
        <w:rPr>
          <w:rStyle w:val="Strong"/>
          <w:rFonts w:ascii="Cambria" w:hAnsi="Cambria" w:cs="Arial"/>
          <w:b w:val="0"/>
          <w:sz w:val="24"/>
          <w:szCs w:val="24"/>
        </w:rPr>
      </w:pPr>
      <w:r w:rsidRPr="00A93256">
        <w:rPr>
          <w:rStyle w:val="Strong"/>
          <w:rFonts w:ascii="Cambria" w:hAnsi="Cambria" w:cs="Arial"/>
          <w:sz w:val="24"/>
          <w:szCs w:val="24"/>
        </w:rPr>
        <w:t>PROCEDURE</w:t>
      </w:r>
      <w:r w:rsidRPr="00A93256">
        <w:rPr>
          <w:rStyle w:val="Strong"/>
          <w:rFonts w:ascii="Cambria" w:hAnsi="Cambria" w:cs="Arial"/>
          <w:b w:val="0"/>
          <w:sz w:val="24"/>
          <w:szCs w:val="24"/>
        </w:rPr>
        <w:t>:</w:t>
      </w:r>
    </w:p>
    <w:p w:rsidR="00A93256" w:rsidRDefault="00A93256" w:rsidP="00B3403A">
      <w:pPr>
        <w:rPr>
          <w:rStyle w:val="Strong"/>
          <w:rFonts w:ascii="Cambria" w:hAnsi="Cambria" w:cs="Arial"/>
          <w:b w:val="0"/>
          <w:sz w:val="24"/>
          <w:szCs w:val="24"/>
        </w:rPr>
      </w:pPr>
    </w:p>
    <w:p w:rsidR="009271EF" w:rsidRPr="009271EF" w:rsidRDefault="009271EF" w:rsidP="009271EF">
      <w:pPr>
        <w:rPr>
          <w:rStyle w:val="Strong"/>
          <w:rFonts w:ascii="Cambria" w:hAnsi="Cambria" w:cs="Arial"/>
          <w:sz w:val="24"/>
          <w:szCs w:val="24"/>
        </w:rPr>
      </w:pPr>
      <w:r w:rsidRPr="009271EF">
        <w:rPr>
          <w:rStyle w:val="Strong"/>
          <w:rFonts w:ascii="Cambria" w:hAnsi="Cambria" w:cs="Arial"/>
          <w:sz w:val="24"/>
          <w:szCs w:val="24"/>
        </w:rPr>
        <w:t xml:space="preserve">&lt;INSERT THE PROCEDURE HERE - Replace this </w:t>
      </w:r>
      <w:r>
        <w:rPr>
          <w:rStyle w:val="Strong"/>
          <w:rFonts w:ascii="Cambria" w:hAnsi="Cambria" w:cs="Arial"/>
          <w:sz w:val="24"/>
          <w:szCs w:val="24"/>
        </w:rPr>
        <w:t xml:space="preserve">&lt;&gt; </w:t>
      </w:r>
      <w:r w:rsidRPr="009271EF">
        <w:rPr>
          <w:rStyle w:val="Strong"/>
          <w:rFonts w:ascii="Cambria" w:hAnsi="Cambria" w:cs="Arial"/>
          <w:sz w:val="24"/>
          <w:szCs w:val="24"/>
        </w:rPr>
        <w:t>text and below example with procedure&gt;</w:t>
      </w:r>
    </w:p>
    <w:p w:rsidR="009271EF" w:rsidRPr="009271EF" w:rsidRDefault="009271EF" w:rsidP="009271EF">
      <w:pPr>
        <w:rPr>
          <w:rStyle w:val="Strong"/>
          <w:rFonts w:ascii="Cambria" w:hAnsi="Cambria" w:cs="Arial"/>
          <w:sz w:val="24"/>
          <w:szCs w:val="24"/>
        </w:rPr>
      </w:pPr>
      <w:r w:rsidRPr="009271EF">
        <w:rPr>
          <w:rStyle w:val="Strong"/>
          <w:rFonts w:ascii="Cambria" w:hAnsi="Cambria" w:cs="Arial"/>
          <w:sz w:val="24"/>
          <w:szCs w:val="24"/>
        </w:rPr>
        <w:t>&lt;Example below&gt;</w:t>
      </w:r>
    </w:p>
    <w:p w:rsidR="007A2CA5" w:rsidRDefault="007A2CA5" w:rsidP="00B121BB">
      <w:pPr>
        <w:pStyle w:val="NormalWeb"/>
        <w:rPr>
          <w:rStyle w:val="Strong"/>
          <w:rFonts w:ascii="Cambria" w:hAnsi="Cambria" w:cs="Arial"/>
          <w:b w:val="0"/>
        </w:rPr>
      </w:pPr>
      <w:r w:rsidRPr="00A93256">
        <w:rPr>
          <w:rFonts w:ascii="Cambria" w:hAnsi="Cambria"/>
        </w:rPr>
        <w:t xml:space="preserve">The </w:t>
      </w:r>
      <w:r>
        <w:rPr>
          <w:rFonts w:ascii="Cambria" w:hAnsi="Cambria"/>
        </w:rPr>
        <w:t>University</w:t>
      </w:r>
      <w:r w:rsidRPr="00A93256">
        <w:rPr>
          <w:rFonts w:ascii="Cambria" w:hAnsi="Cambria"/>
        </w:rPr>
        <w:t xml:space="preserve"> becomes responsible for all property upon delivery.</w:t>
      </w:r>
      <w:r w:rsidR="00B121BB">
        <w:rPr>
          <w:rFonts w:ascii="Cambria" w:hAnsi="Cambria"/>
        </w:rPr>
        <w:t xml:space="preserve">  Central Receiving is responsible for </w:t>
      </w:r>
      <w:r w:rsidR="00B121BB" w:rsidRPr="00A93256">
        <w:rPr>
          <w:rFonts w:ascii="Cambria" w:hAnsi="Cambria" w:cs="Arial"/>
        </w:rPr>
        <w:t>the receiving and shipping of i</w:t>
      </w:r>
      <w:r w:rsidR="00B121BB">
        <w:rPr>
          <w:rFonts w:ascii="Cambria" w:hAnsi="Cambria" w:cs="Arial"/>
        </w:rPr>
        <w:t>tems to and from the Savannah State University.</w:t>
      </w:r>
      <w:r w:rsidR="0031678C">
        <w:rPr>
          <w:rFonts w:ascii="Cambria" w:hAnsi="Cambria" w:cs="Arial"/>
        </w:rPr>
        <w:t xml:space="preserve">  </w:t>
      </w:r>
      <w:r w:rsidR="0065432A">
        <w:rPr>
          <w:rFonts w:ascii="Cambria" w:hAnsi="Cambria" w:cs="Arial"/>
        </w:rPr>
        <w:t>Central Receiving (used interchangeably with Property Control) is also responsible for the disposition of University purchased goods.</w:t>
      </w:r>
    </w:p>
    <w:p w:rsidR="009A7A13" w:rsidRDefault="009A7A13" w:rsidP="00B3403A">
      <w:pPr>
        <w:rPr>
          <w:rStyle w:val="Strong"/>
          <w:rFonts w:ascii="Cambria" w:hAnsi="Cambria" w:cs="Arial"/>
          <w:b w:val="0"/>
          <w:sz w:val="24"/>
          <w:szCs w:val="24"/>
        </w:rPr>
      </w:pPr>
      <w:r>
        <w:rPr>
          <w:rStyle w:val="Strong"/>
          <w:rFonts w:ascii="Cambria" w:hAnsi="Cambria" w:cs="Arial"/>
          <w:b w:val="0"/>
          <w:sz w:val="24"/>
          <w:szCs w:val="24"/>
        </w:rPr>
        <w:t>Receipt of Goods</w:t>
      </w:r>
    </w:p>
    <w:p w:rsidR="00B121BB" w:rsidRPr="00B121BB" w:rsidRDefault="00B121BB" w:rsidP="009A7A13">
      <w:pPr>
        <w:pStyle w:val="NormalWeb"/>
        <w:numPr>
          <w:ilvl w:val="0"/>
          <w:numId w:val="1"/>
        </w:numPr>
        <w:rPr>
          <w:rFonts w:ascii="Cambria" w:hAnsi="Cambria"/>
        </w:rPr>
      </w:pPr>
      <w:bookmarkStart w:id="1" w:name="200101"/>
      <w:bookmarkEnd w:id="1"/>
      <w:r>
        <w:rPr>
          <w:rFonts w:ascii="Cambria" w:hAnsi="Cambria" w:cs="Arial"/>
        </w:rPr>
        <w:t xml:space="preserve">Goods purchased by Savannah State University are to be shipped to Central Receiving, unless paid for with the Purchasing Card.  </w:t>
      </w:r>
    </w:p>
    <w:p w:rsidR="00B121BB" w:rsidRPr="00B121BB" w:rsidRDefault="00B121BB" w:rsidP="00B121BB">
      <w:pPr>
        <w:pStyle w:val="NormalWeb"/>
        <w:numPr>
          <w:ilvl w:val="1"/>
          <w:numId w:val="1"/>
        </w:numPr>
        <w:rPr>
          <w:rFonts w:ascii="Cambria" w:hAnsi="Cambria"/>
        </w:rPr>
      </w:pPr>
      <w:r>
        <w:rPr>
          <w:rFonts w:ascii="Cambria" w:hAnsi="Cambria" w:cs="Arial"/>
        </w:rPr>
        <w:t>Central Receiving is located at:</w:t>
      </w:r>
    </w:p>
    <w:p w:rsidR="00B121BB" w:rsidRDefault="00B121BB" w:rsidP="0031678C">
      <w:pPr>
        <w:pStyle w:val="NormalWeb"/>
        <w:spacing w:before="0" w:beforeAutospacing="0" w:after="0" w:afterAutospacing="0"/>
        <w:ind w:left="2160"/>
        <w:rPr>
          <w:rFonts w:ascii="Cambria" w:hAnsi="Cambria"/>
        </w:rPr>
      </w:pPr>
      <w:r>
        <w:rPr>
          <w:rFonts w:ascii="Cambria" w:hAnsi="Cambria"/>
        </w:rPr>
        <w:t>Evers Physical Plant</w:t>
      </w:r>
    </w:p>
    <w:p w:rsidR="00B121BB" w:rsidRDefault="00B121BB" w:rsidP="0031678C">
      <w:pPr>
        <w:pStyle w:val="NormalWeb"/>
        <w:spacing w:before="0" w:beforeAutospacing="0" w:after="0" w:afterAutospacing="0"/>
        <w:ind w:left="2160"/>
        <w:rPr>
          <w:rFonts w:ascii="Cambria" w:hAnsi="Cambria"/>
        </w:rPr>
      </w:pPr>
      <w:r>
        <w:rPr>
          <w:rFonts w:ascii="Cambria" w:hAnsi="Cambria"/>
        </w:rPr>
        <w:t>South Thompkins Road</w:t>
      </w:r>
    </w:p>
    <w:p w:rsidR="00B121BB" w:rsidRDefault="00B121BB" w:rsidP="0031678C">
      <w:pPr>
        <w:pStyle w:val="NormalWeb"/>
        <w:spacing w:before="0" w:beforeAutospacing="0" w:after="0" w:afterAutospacing="0"/>
        <w:ind w:left="2160"/>
        <w:rPr>
          <w:rFonts w:ascii="Cambria" w:hAnsi="Cambria"/>
        </w:rPr>
      </w:pPr>
      <w:r>
        <w:rPr>
          <w:rFonts w:ascii="Cambria" w:hAnsi="Cambria"/>
        </w:rPr>
        <w:t>Savannah State University</w:t>
      </w:r>
    </w:p>
    <w:p w:rsidR="00B121BB" w:rsidRPr="00B121BB" w:rsidRDefault="00B121BB" w:rsidP="0031678C">
      <w:pPr>
        <w:pStyle w:val="NormalWeb"/>
        <w:spacing w:before="0" w:beforeAutospacing="0" w:after="0" w:afterAutospacing="0"/>
        <w:ind w:left="2160"/>
        <w:rPr>
          <w:rFonts w:ascii="Cambria" w:hAnsi="Cambria"/>
        </w:rPr>
      </w:pPr>
      <w:r>
        <w:rPr>
          <w:rFonts w:ascii="Cambria" w:hAnsi="Cambria"/>
        </w:rPr>
        <w:t>Savannah, Georgia 31404</w:t>
      </w:r>
    </w:p>
    <w:p w:rsidR="00B121BB" w:rsidRPr="00B121BB" w:rsidRDefault="00B121BB" w:rsidP="00B121BB">
      <w:pPr>
        <w:pStyle w:val="NormalWeb"/>
        <w:numPr>
          <w:ilvl w:val="1"/>
          <w:numId w:val="1"/>
        </w:numPr>
        <w:rPr>
          <w:rFonts w:ascii="Cambria" w:hAnsi="Cambria"/>
        </w:rPr>
      </w:pPr>
      <w:r>
        <w:rPr>
          <w:rFonts w:ascii="Cambria" w:hAnsi="Cambria"/>
        </w:rPr>
        <w:t>The Central Receiving dock is open for receipt of goods from 8:30 am to 4:30 pm, Monday through Friday.</w:t>
      </w:r>
    </w:p>
    <w:p w:rsidR="00B121BB" w:rsidRPr="00B121BB" w:rsidRDefault="00B121BB" w:rsidP="00B121BB">
      <w:pPr>
        <w:pStyle w:val="NormalWeb"/>
        <w:numPr>
          <w:ilvl w:val="1"/>
          <w:numId w:val="1"/>
        </w:numPr>
        <w:rPr>
          <w:rFonts w:ascii="Cambria" w:hAnsi="Cambria"/>
        </w:rPr>
      </w:pPr>
      <w:r>
        <w:rPr>
          <w:rFonts w:ascii="Cambria" w:hAnsi="Cambria" w:cs="Arial"/>
        </w:rPr>
        <w:lastRenderedPageBreak/>
        <w:t xml:space="preserve">Central </w:t>
      </w:r>
      <w:r w:rsidRPr="00A93256">
        <w:rPr>
          <w:rFonts w:ascii="Cambria" w:hAnsi="Cambria" w:cs="Arial"/>
        </w:rPr>
        <w:t xml:space="preserve">Receiving activities include receiving and distribution of goods, tagging of </w:t>
      </w:r>
      <w:r>
        <w:rPr>
          <w:rFonts w:ascii="Cambria" w:hAnsi="Cambria" w:cs="Arial"/>
        </w:rPr>
        <w:t xml:space="preserve">Savannah </w:t>
      </w:r>
      <w:r w:rsidRPr="00A93256">
        <w:rPr>
          <w:rFonts w:ascii="Cambria" w:hAnsi="Cambria" w:cs="Arial"/>
        </w:rPr>
        <w:t>State University inventoried property</w:t>
      </w:r>
      <w:r>
        <w:rPr>
          <w:rFonts w:ascii="Cambria" w:hAnsi="Cambria" w:cs="Arial"/>
        </w:rPr>
        <w:t xml:space="preserve">.  </w:t>
      </w:r>
      <w:r w:rsidRPr="00A93256">
        <w:rPr>
          <w:rFonts w:ascii="Cambria" w:hAnsi="Cambria" w:cs="Arial"/>
        </w:rPr>
        <w:t xml:space="preserve">These functions are under the responsibility of the </w:t>
      </w:r>
      <w:r>
        <w:rPr>
          <w:rFonts w:ascii="Cambria" w:hAnsi="Cambria" w:cs="Arial"/>
        </w:rPr>
        <w:t>Central Receiving personnel</w:t>
      </w:r>
      <w:r w:rsidRPr="00A93256">
        <w:rPr>
          <w:rFonts w:ascii="Cambria" w:hAnsi="Cambria" w:cs="Arial"/>
        </w:rPr>
        <w:t xml:space="preserve"> who reports to t</w:t>
      </w:r>
      <w:r>
        <w:rPr>
          <w:rFonts w:ascii="Cambria" w:hAnsi="Cambria" w:cs="Arial"/>
        </w:rPr>
        <w:t>he Purchasing Director</w:t>
      </w:r>
      <w:r w:rsidRPr="00A93256">
        <w:rPr>
          <w:rFonts w:ascii="Cambria" w:hAnsi="Cambria" w:cs="Arial"/>
        </w:rPr>
        <w:t>. All of these activities are coordinated to insure that efficient service is provided to the University in receiving merchandise, scheduling the shipment and retrieval of equipment to be repaired off-campus, and equipment accountability</w:t>
      </w:r>
      <w:r>
        <w:rPr>
          <w:rFonts w:ascii="Cambria" w:hAnsi="Cambria" w:cs="Arial"/>
        </w:rPr>
        <w:t>.</w:t>
      </w:r>
    </w:p>
    <w:p w:rsidR="009A7A13" w:rsidRDefault="00B3403A" w:rsidP="0031678C">
      <w:pPr>
        <w:pStyle w:val="NormalWeb"/>
        <w:numPr>
          <w:ilvl w:val="0"/>
          <w:numId w:val="1"/>
        </w:numPr>
        <w:rPr>
          <w:rFonts w:ascii="Cambria" w:hAnsi="Cambria"/>
        </w:rPr>
      </w:pPr>
      <w:r w:rsidRPr="00A93256">
        <w:rPr>
          <w:rFonts w:ascii="Cambria" w:hAnsi="Cambria" w:cs="Arial"/>
        </w:rPr>
        <w:t>When items are received, Central Receiving:</w:t>
      </w:r>
    </w:p>
    <w:p w:rsidR="009A7A13" w:rsidRPr="009A7A13" w:rsidRDefault="00B3403A" w:rsidP="009A7A13">
      <w:pPr>
        <w:pStyle w:val="NormalWeb"/>
        <w:numPr>
          <w:ilvl w:val="1"/>
          <w:numId w:val="1"/>
        </w:numPr>
        <w:rPr>
          <w:rFonts w:ascii="Cambria" w:hAnsi="Cambria"/>
        </w:rPr>
      </w:pPr>
      <w:r w:rsidRPr="009A7A13">
        <w:rPr>
          <w:rFonts w:ascii="Cambria" w:hAnsi="Cambria" w:cs="Arial"/>
        </w:rPr>
        <w:t xml:space="preserve">Checks the condition of each item received. </w:t>
      </w:r>
    </w:p>
    <w:p w:rsidR="009A7A13" w:rsidRPr="009A7A13" w:rsidRDefault="00B3403A" w:rsidP="009A7A13">
      <w:pPr>
        <w:pStyle w:val="NormalWeb"/>
        <w:numPr>
          <w:ilvl w:val="1"/>
          <w:numId w:val="1"/>
        </w:numPr>
        <w:rPr>
          <w:rFonts w:ascii="Cambria" w:hAnsi="Cambria"/>
        </w:rPr>
      </w:pPr>
      <w:r w:rsidRPr="009A7A13">
        <w:rPr>
          <w:rFonts w:ascii="Cambria" w:hAnsi="Cambria" w:cs="Arial"/>
        </w:rPr>
        <w:t xml:space="preserve">Compares items received to description or Purchase Order, </w:t>
      </w:r>
    </w:p>
    <w:p w:rsidR="00B3403A" w:rsidRPr="009A7A13" w:rsidRDefault="00B3403A" w:rsidP="009A7A13">
      <w:pPr>
        <w:pStyle w:val="NormalWeb"/>
        <w:numPr>
          <w:ilvl w:val="1"/>
          <w:numId w:val="1"/>
        </w:numPr>
        <w:rPr>
          <w:rFonts w:ascii="Cambria" w:hAnsi="Cambria"/>
        </w:rPr>
      </w:pPr>
      <w:r w:rsidRPr="009A7A13">
        <w:rPr>
          <w:rFonts w:ascii="Cambria" w:hAnsi="Cambria" w:cs="Arial"/>
        </w:rPr>
        <w:t>Prepares the shipment for delivery to the requesting department.</w:t>
      </w:r>
    </w:p>
    <w:p w:rsidR="00B3403A" w:rsidRPr="009A7A13" w:rsidRDefault="00B3403A" w:rsidP="009A7A13">
      <w:pPr>
        <w:pStyle w:val="NormalWeb"/>
        <w:numPr>
          <w:ilvl w:val="0"/>
          <w:numId w:val="1"/>
        </w:numPr>
        <w:rPr>
          <w:rFonts w:ascii="Cambria" w:hAnsi="Cambria"/>
        </w:rPr>
      </w:pPr>
      <w:r w:rsidRPr="00A93256">
        <w:rPr>
          <w:rFonts w:ascii="Cambria" w:hAnsi="Cambria" w:cs="Arial"/>
        </w:rPr>
        <w:t>If there are any discrepancies, necessary action will be taken by Central Receiving to resolve them. Items are not delivered to a department until all known problems concerning the items are solved.</w:t>
      </w:r>
    </w:p>
    <w:p w:rsidR="00B3403A" w:rsidRPr="009A7A13" w:rsidRDefault="009A7A13" w:rsidP="009A7A13">
      <w:pPr>
        <w:pStyle w:val="NormalWeb"/>
        <w:rPr>
          <w:rFonts w:ascii="Cambria" w:hAnsi="Cambria" w:cs="Arial"/>
        </w:rPr>
      </w:pPr>
      <w:r>
        <w:rPr>
          <w:rFonts w:ascii="Cambria" w:hAnsi="Cambria" w:cs="Arial"/>
        </w:rPr>
        <w:t>Receipt of Good – Direct Shipment to Department</w:t>
      </w:r>
      <w:bookmarkStart w:id="2" w:name="200101p"/>
      <w:bookmarkEnd w:id="2"/>
      <w:r w:rsidR="00B3403A" w:rsidRPr="00A93256">
        <w:rPr>
          <w:rStyle w:val="Emphasis"/>
          <w:rFonts w:ascii="Cambria" w:hAnsi="Cambria"/>
        </w:rPr>
        <w:t xml:space="preserve"> </w:t>
      </w:r>
    </w:p>
    <w:p w:rsidR="00FC11C2" w:rsidRPr="00FC11C2" w:rsidRDefault="00B3403A" w:rsidP="009A7A13">
      <w:pPr>
        <w:pStyle w:val="NormalWeb"/>
        <w:numPr>
          <w:ilvl w:val="0"/>
          <w:numId w:val="7"/>
        </w:numPr>
        <w:rPr>
          <w:rStyle w:val="Emphasis"/>
          <w:rFonts w:ascii="Cambria" w:hAnsi="Cambria"/>
          <w:i w:val="0"/>
          <w:iCs w:val="0"/>
        </w:rPr>
      </w:pPr>
      <w:r w:rsidRPr="00FC11C2">
        <w:rPr>
          <w:rStyle w:val="Emphasis"/>
          <w:rFonts w:ascii="Cambria" w:hAnsi="Cambria"/>
          <w:i w:val="0"/>
        </w:rPr>
        <w:t xml:space="preserve">If a department receives goods or services that were ordered using a Purchase Order directly from the vendor, and not through Receiving, the department must notify </w:t>
      </w:r>
      <w:r w:rsidR="00FC11C2" w:rsidRPr="00FC11C2">
        <w:rPr>
          <w:rStyle w:val="Emphasis"/>
          <w:rFonts w:ascii="Cambria" w:hAnsi="Cambria"/>
          <w:i w:val="0"/>
        </w:rPr>
        <w:t>Central Receiving within</w:t>
      </w:r>
      <w:r w:rsidRPr="00FC11C2">
        <w:rPr>
          <w:rStyle w:val="Emphasis"/>
          <w:rFonts w:ascii="Cambria" w:hAnsi="Cambria"/>
          <w:i w:val="0"/>
        </w:rPr>
        <w:t xml:space="preserve"> 3 days. </w:t>
      </w:r>
    </w:p>
    <w:p w:rsidR="00FC11C2" w:rsidRPr="00FC11C2" w:rsidRDefault="00FC11C2" w:rsidP="00FC11C2">
      <w:pPr>
        <w:pStyle w:val="NormalWeb"/>
        <w:numPr>
          <w:ilvl w:val="1"/>
          <w:numId w:val="7"/>
        </w:numPr>
        <w:rPr>
          <w:rStyle w:val="Emphasis"/>
          <w:rFonts w:ascii="Cambria" w:hAnsi="Cambria"/>
          <w:i w:val="0"/>
          <w:iCs w:val="0"/>
        </w:rPr>
      </w:pPr>
      <w:r>
        <w:rPr>
          <w:rStyle w:val="Emphasis"/>
          <w:rFonts w:ascii="Cambria" w:hAnsi="Cambria"/>
          <w:i w:val="0"/>
        </w:rPr>
        <w:t>In the event that the department fails to notify Central Receiving, upon receipt of the invoice Accounts Payable will have to contact the department to verify receipt and, then, contact Central Receiving to have the inventory record updated.</w:t>
      </w:r>
    </w:p>
    <w:p w:rsidR="00FC11C2" w:rsidRPr="00FC11C2" w:rsidRDefault="00FC11C2" w:rsidP="00FC11C2">
      <w:pPr>
        <w:pStyle w:val="NormalWeb"/>
        <w:numPr>
          <w:ilvl w:val="1"/>
          <w:numId w:val="7"/>
        </w:numPr>
        <w:rPr>
          <w:rStyle w:val="Emphasis"/>
          <w:rFonts w:ascii="Cambria" w:hAnsi="Cambria"/>
          <w:i w:val="0"/>
          <w:iCs w:val="0"/>
        </w:rPr>
      </w:pPr>
      <w:r>
        <w:rPr>
          <w:rStyle w:val="Emphasis"/>
          <w:rFonts w:ascii="Cambria" w:hAnsi="Cambria"/>
          <w:i w:val="0"/>
        </w:rPr>
        <w:t xml:space="preserve">Note:  Any failure to report to Central Receiving when items are delivered directly to the department by the vendor will create a delay in payment.  Vendors have been notified via an official letter from the University to ship all items to Central Receiving and remit all invoices to Accounts Payable, and failure to do such will result in a delay of payment.  </w:t>
      </w:r>
    </w:p>
    <w:p w:rsidR="00B3403A" w:rsidRPr="0075787F" w:rsidRDefault="00B3403A" w:rsidP="00FC11C2">
      <w:pPr>
        <w:pStyle w:val="NormalWeb"/>
        <w:numPr>
          <w:ilvl w:val="1"/>
          <w:numId w:val="7"/>
        </w:numPr>
        <w:rPr>
          <w:rStyle w:val="Emphasis"/>
          <w:rFonts w:ascii="Cambria" w:hAnsi="Cambria"/>
          <w:iCs w:val="0"/>
        </w:rPr>
      </w:pPr>
      <w:r w:rsidRPr="00FC11C2">
        <w:rPr>
          <w:rStyle w:val="Emphasis"/>
          <w:rFonts w:ascii="Cambria" w:hAnsi="Cambria"/>
          <w:i w:val="0"/>
        </w:rPr>
        <w:t>As a part of this process, the department may be contacted by Receiving for information needed to prepare a decal. Prompt response by the department to such requests is necessary so that payments can meet the Governor's 30 day pay requirements.</w:t>
      </w:r>
    </w:p>
    <w:p w:rsidR="00B3403A" w:rsidRPr="00A93256" w:rsidRDefault="0075787F" w:rsidP="0075787F">
      <w:pPr>
        <w:pStyle w:val="NormalWeb"/>
        <w:rPr>
          <w:rFonts w:ascii="Cambria" w:hAnsi="Cambria"/>
        </w:rPr>
      </w:pPr>
      <w:r>
        <w:rPr>
          <w:rStyle w:val="Emphasis"/>
          <w:rFonts w:ascii="Cambria" w:hAnsi="Cambria"/>
          <w:i w:val="0"/>
        </w:rPr>
        <w:t>Receipt of Personal Items</w:t>
      </w:r>
      <w:bookmarkStart w:id="3" w:name="200111"/>
      <w:bookmarkEnd w:id="3"/>
    </w:p>
    <w:p w:rsidR="00B3403A" w:rsidRDefault="00B3403A" w:rsidP="0075787F">
      <w:pPr>
        <w:pStyle w:val="NormalWeb"/>
        <w:numPr>
          <w:ilvl w:val="0"/>
          <w:numId w:val="8"/>
        </w:numPr>
        <w:rPr>
          <w:rFonts w:ascii="Cambria" w:hAnsi="Cambria" w:cs="Arial"/>
        </w:rPr>
      </w:pPr>
      <w:r w:rsidRPr="0075787F">
        <w:rPr>
          <w:rFonts w:ascii="Cambria" w:hAnsi="Cambria" w:cs="Arial"/>
        </w:rPr>
        <w:t xml:space="preserve">If you anticipate ordering personal items to be paid for with your own personal funds and wish the items to be delivered to the University, please make arrangements to have the vendor ship your order directly to your department. Due to the volume of activity, Central Receiving policy is to handle University-purchased orders only. </w:t>
      </w:r>
    </w:p>
    <w:p w:rsidR="0065432A" w:rsidRDefault="0065432A" w:rsidP="0075787F">
      <w:pPr>
        <w:pStyle w:val="NormalWeb"/>
        <w:rPr>
          <w:rFonts w:ascii="Cambria" w:hAnsi="Cambria" w:cs="Arial"/>
        </w:rPr>
      </w:pPr>
      <w:r>
        <w:rPr>
          <w:rFonts w:ascii="Cambria" w:hAnsi="Cambria" w:cs="Arial"/>
        </w:rPr>
        <w:t>Tagging of Goods</w:t>
      </w:r>
    </w:p>
    <w:p w:rsidR="0065432A" w:rsidRPr="00A93256" w:rsidRDefault="0065432A" w:rsidP="0065432A">
      <w:pPr>
        <w:pStyle w:val="NormalWeb"/>
        <w:rPr>
          <w:rFonts w:ascii="Cambria" w:hAnsi="Cambria"/>
        </w:rPr>
      </w:pPr>
      <w:r w:rsidRPr="00A93256">
        <w:rPr>
          <w:rFonts w:ascii="Cambria" w:hAnsi="Cambria" w:cs="Arial"/>
        </w:rPr>
        <w:lastRenderedPageBreak/>
        <w:t xml:space="preserve">University Receiving is directly responsible for affixing property decals on </w:t>
      </w:r>
      <w:r w:rsidR="006C0145">
        <w:rPr>
          <w:rFonts w:ascii="Cambria" w:hAnsi="Cambria" w:cs="Arial"/>
        </w:rPr>
        <w:t>Savannah</w:t>
      </w:r>
      <w:r w:rsidRPr="00A93256">
        <w:rPr>
          <w:rFonts w:ascii="Cambria" w:hAnsi="Cambria" w:cs="Arial"/>
        </w:rPr>
        <w:t xml:space="preserve"> State University equipment before it is added to the inventory records.</w:t>
      </w:r>
    </w:p>
    <w:p w:rsidR="0065432A" w:rsidRPr="007666EF" w:rsidRDefault="0065432A" w:rsidP="0065432A">
      <w:pPr>
        <w:pStyle w:val="NormalWeb"/>
        <w:rPr>
          <w:rFonts w:ascii="Cambria" w:hAnsi="Cambria"/>
          <w:i/>
        </w:rPr>
      </w:pPr>
      <w:r w:rsidRPr="007666EF">
        <w:rPr>
          <w:rStyle w:val="Emphasis"/>
          <w:rFonts w:ascii="Cambria" w:hAnsi="Cambria"/>
          <w:i w:val="0"/>
        </w:rPr>
        <w:t xml:space="preserve">Property decals are attached to all items classified as loose equipment. The property decals are bar-coded and include a pre-printed University identification number. </w:t>
      </w:r>
      <w:r w:rsidR="006C0145">
        <w:rPr>
          <w:rStyle w:val="Emphasis"/>
          <w:rFonts w:ascii="Cambria" w:hAnsi="Cambria"/>
          <w:i w:val="0"/>
        </w:rPr>
        <w:t>Typically</w:t>
      </w:r>
      <w:r w:rsidRPr="007666EF">
        <w:rPr>
          <w:rStyle w:val="Emphasis"/>
          <w:rFonts w:ascii="Cambria" w:hAnsi="Cambria"/>
          <w:i w:val="0"/>
        </w:rPr>
        <w:t>, the property decal is attached on the right side of equipment and furniture. Whenever possible, Central Receiving tries to place the property decal in an inconspicuous place so that it will not detract from the equipment's appearance.</w:t>
      </w:r>
    </w:p>
    <w:p w:rsidR="0065432A" w:rsidRDefault="0065432A" w:rsidP="0075787F">
      <w:pPr>
        <w:pStyle w:val="NormalWeb"/>
        <w:rPr>
          <w:rFonts w:ascii="Cambria" w:hAnsi="Cambria" w:cs="Arial"/>
        </w:rPr>
      </w:pPr>
      <w:r w:rsidRPr="00A93256">
        <w:rPr>
          <w:rFonts w:ascii="Cambria" w:hAnsi="Cambria"/>
        </w:rPr>
        <w:t>The college inventory tag number must be noted on the receiving document (packing slip, email or copy of PO) and recorded in the fixed assets system</w:t>
      </w:r>
      <w:r w:rsidR="006C0145">
        <w:rPr>
          <w:rFonts w:ascii="Cambria" w:hAnsi="Cambria"/>
        </w:rPr>
        <w:t xml:space="preserve"> when meeting threshold critieria.</w:t>
      </w:r>
    </w:p>
    <w:p w:rsidR="009271EF" w:rsidRPr="009271EF" w:rsidRDefault="009271EF" w:rsidP="009271EF">
      <w:pPr>
        <w:rPr>
          <w:rStyle w:val="Strong"/>
          <w:rFonts w:ascii="Cambria" w:hAnsi="Cambria" w:cs="Arial"/>
          <w:sz w:val="24"/>
          <w:szCs w:val="24"/>
        </w:rPr>
      </w:pPr>
      <w:bookmarkStart w:id="4" w:name="200"/>
      <w:bookmarkStart w:id="5" w:name="300111p"/>
      <w:bookmarkEnd w:id="4"/>
      <w:bookmarkEnd w:id="5"/>
      <w:r w:rsidRPr="009271EF">
        <w:rPr>
          <w:rStyle w:val="Strong"/>
          <w:rFonts w:ascii="Cambria" w:hAnsi="Cambria" w:cs="Arial"/>
          <w:sz w:val="24"/>
          <w:szCs w:val="24"/>
        </w:rPr>
        <w:t>&lt;IF EXCEPTIONS ARE KNOWN, NOTE THEM HERE, AND PROVIDE PROCEDURE TO FOLLOW FOR THE ALLOWABLE EXCEPTION HERE</w:t>
      </w:r>
      <w:r>
        <w:rPr>
          <w:rStyle w:val="Strong"/>
          <w:rFonts w:ascii="Cambria" w:hAnsi="Cambria" w:cs="Arial"/>
          <w:sz w:val="24"/>
          <w:szCs w:val="24"/>
        </w:rPr>
        <w:t xml:space="preserve"> – remove this section &lt;&gt; from final document</w:t>
      </w:r>
      <w:r w:rsidRPr="009271EF">
        <w:rPr>
          <w:rStyle w:val="Strong"/>
          <w:rFonts w:ascii="Cambria" w:hAnsi="Cambria" w:cs="Arial"/>
          <w:sz w:val="24"/>
          <w:szCs w:val="24"/>
        </w:rPr>
        <w:t>&gt;</w:t>
      </w:r>
    </w:p>
    <w:p w:rsidR="0046107E" w:rsidRPr="00A93256" w:rsidRDefault="0046107E" w:rsidP="0046107E">
      <w:pPr>
        <w:pStyle w:val="Default"/>
        <w:rPr>
          <w:rFonts w:ascii="Cambria" w:hAnsi="Cambria"/>
        </w:rPr>
      </w:pPr>
      <w:r w:rsidRPr="00A93256">
        <w:rPr>
          <w:rFonts w:ascii="Cambria" w:hAnsi="Cambria"/>
        </w:rPr>
        <w:t xml:space="preserve">Potential Exceptions &amp; How to Resolve: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46107E" w:rsidRPr="00120456" w:rsidTr="00120456">
        <w:trPr>
          <w:trHeight w:val="218"/>
        </w:trPr>
        <w:tc>
          <w:tcPr>
            <w:tcW w:w="9108" w:type="dxa"/>
          </w:tcPr>
          <w:p w:rsidR="0046107E" w:rsidRPr="00120456" w:rsidRDefault="0046107E" w:rsidP="009271EF">
            <w:pPr>
              <w:pStyle w:val="Default"/>
              <w:rPr>
                <w:rFonts w:ascii="Cambria" w:hAnsi="Cambria"/>
              </w:rPr>
            </w:pPr>
            <w:r w:rsidRPr="00120456">
              <w:rPr>
                <w:rFonts w:ascii="Cambria" w:hAnsi="Cambria"/>
              </w:rPr>
              <w:t xml:space="preserve">Exception: </w:t>
            </w:r>
            <w:r w:rsidR="009271EF">
              <w:rPr>
                <w:rFonts w:ascii="Cambria" w:hAnsi="Cambria"/>
              </w:rPr>
              <w:t xml:space="preserve">  Employee request order be shipped to them at an off campus location (i.e. a hotel, etc…) for operating Supplies when on authorized university travel to avoid the necessity to transport</w:t>
            </w:r>
          </w:p>
        </w:tc>
      </w:tr>
      <w:tr w:rsidR="0046107E" w:rsidRPr="00120456" w:rsidTr="00120456">
        <w:trPr>
          <w:trHeight w:val="218"/>
        </w:trPr>
        <w:tc>
          <w:tcPr>
            <w:tcW w:w="9108" w:type="dxa"/>
          </w:tcPr>
          <w:p w:rsidR="0046107E" w:rsidRPr="00120456" w:rsidRDefault="0046107E" w:rsidP="00120456">
            <w:pPr>
              <w:pStyle w:val="Default"/>
              <w:rPr>
                <w:rFonts w:ascii="Cambria" w:hAnsi="Cambria"/>
              </w:rPr>
            </w:pPr>
            <w:r w:rsidRPr="00120456">
              <w:rPr>
                <w:rFonts w:ascii="Cambria" w:hAnsi="Cambria"/>
              </w:rPr>
              <w:t xml:space="preserve">Resolution: </w:t>
            </w:r>
            <w:r w:rsidR="009271EF">
              <w:rPr>
                <w:rFonts w:ascii="Cambria" w:hAnsi="Cambria"/>
              </w:rPr>
              <w:t xml:space="preserve">Employee should notify the University of the receipt of such items if purchased on purchase order; </w:t>
            </w:r>
          </w:p>
        </w:tc>
      </w:tr>
    </w:tbl>
    <w:p w:rsidR="0046107E" w:rsidRPr="00A93256" w:rsidRDefault="0046107E" w:rsidP="0046107E">
      <w:pPr>
        <w:rPr>
          <w:rFonts w:ascii="Cambria" w:hAnsi="Cambria"/>
          <w:b/>
          <w:bCs/>
          <w:sz w:val="24"/>
          <w:szCs w:val="24"/>
        </w:rPr>
      </w:pPr>
    </w:p>
    <w:sectPr w:rsidR="0046107E" w:rsidRPr="00A93256" w:rsidSect="00A275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BB" w:rsidRDefault="004C79BB" w:rsidP="00777888">
      <w:r>
        <w:separator/>
      </w:r>
    </w:p>
  </w:endnote>
  <w:endnote w:type="continuationSeparator" w:id="0">
    <w:p w:rsidR="004C79BB" w:rsidRDefault="004C79BB" w:rsidP="0077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66" w:rsidRDefault="00700E66">
    <w:pPr>
      <w:pStyle w:val="Footer"/>
      <w:jc w:val="right"/>
    </w:pPr>
    <w:r>
      <w:fldChar w:fldCharType="begin"/>
    </w:r>
    <w:r>
      <w:instrText xml:space="preserve"> PAGE   \* MERGEFORMAT </w:instrText>
    </w:r>
    <w:r>
      <w:fldChar w:fldCharType="separate"/>
    </w:r>
    <w:r w:rsidR="00FA45F7">
      <w:rPr>
        <w:noProof/>
      </w:rPr>
      <w:t>2</w:t>
    </w:r>
    <w:r>
      <w:rPr>
        <w:noProof/>
      </w:rPr>
      <w:fldChar w:fldCharType="end"/>
    </w:r>
  </w:p>
  <w:p w:rsidR="00700E66" w:rsidRDefault="00700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BB" w:rsidRDefault="004C79BB" w:rsidP="00777888">
      <w:r>
        <w:separator/>
      </w:r>
    </w:p>
  </w:footnote>
  <w:footnote w:type="continuationSeparator" w:id="0">
    <w:p w:rsidR="004C79BB" w:rsidRDefault="004C79BB" w:rsidP="00777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2" w:rsidRPr="00A93256" w:rsidRDefault="00FA45F7" w:rsidP="00777888">
    <w:pPr>
      <w:pStyle w:val="Header"/>
      <w:rPr>
        <w:rFonts w:ascii="Cambria" w:hAnsi="Cambria"/>
        <w:sz w:val="24"/>
        <w:szCs w:val="24"/>
      </w:rPr>
    </w:pPr>
    <w:r>
      <w:rPr>
        <w:rFonts w:ascii="Cambria" w:hAnsi="Cambria"/>
        <w:noProof/>
        <w:sz w:val="24"/>
        <w:szCs w:val="24"/>
      </w:rPr>
      <w:drawing>
        <wp:anchor distT="0" distB="0" distL="114300" distR="114300" simplePos="0" relativeHeight="251657728" behindDoc="0" locked="0" layoutInCell="1" allowOverlap="1">
          <wp:simplePos x="0" y="0"/>
          <wp:positionH relativeFrom="column">
            <wp:posOffset>-215900</wp:posOffset>
          </wp:positionH>
          <wp:positionV relativeFrom="paragraph">
            <wp:posOffset>-54610</wp:posOffset>
          </wp:positionV>
          <wp:extent cx="979170" cy="796925"/>
          <wp:effectExtent l="0" t="0" r="0" b="3175"/>
          <wp:wrapSquare wrapText="bothSides"/>
          <wp:docPr id="1" name="Picture 0" descr="SSU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SU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142" w:rsidRPr="00A93256">
      <w:rPr>
        <w:rFonts w:ascii="Cambria" w:hAnsi="Cambria"/>
        <w:sz w:val="24"/>
        <w:szCs w:val="24"/>
      </w:rPr>
      <w:tab/>
    </w:r>
    <w:r w:rsidR="00596142" w:rsidRPr="00A93256">
      <w:rPr>
        <w:rFonts w:ascii="Cambria" w:hAnsi="Cambria"/>
        <w:sz w:val="24"/>
        <w:szCs w:val="24"/>
      </w:rPr>
      <w:tab/>
      <w:t>#</w:t>
    </w:r>
    <w:r w:rsidR="00596142">
      <w:rPr>
        <w:rFonts w:ascii="Cambria" w:hAnsi="Cambria"/>
        <w:sz w:val="24"/>
        <w:szCs w:val="24"/>
      </w:rPr>
      <w:fldChar w:fldCharType="begin"/>
    </w:r>
    <w:r w:rsidR="00596142">
      <w:rPr>
        <w:rFonts w:ascii="Cambria" w:hAnsi="Cambria"/>
        <w:sz w:val="24"/>
        <w:szCs w:val="24"/>
      </w:rPr>
      <w:instrText xml:space="preserve"> DOCVARIABLE "Reference #" \* MERGEFORMAT </w:instrText>
    </w:r>
    <w:r w:rsidR="00596142">
      <w:rPr>
        <w:rFonts w:ascii="Cambria" w:hAnsi="Cambria"/>
        <w:sz w:val="24"/>
        <w:szCs w:val="24"/>
      </w:rPr>
      <w:fldChar w:fldCharType="separate"/>
    </w:r>
    <w:r w:rsidR="00596142">
      <w:rPr>
        <w:rFonts w:ascii="Cambria" w:hAnsi="Cambria"/>
        <w:sz w:val="24"/>
        <w:szCs w:val="24"/>
      </w:rPr>
      <w:t>Reference #</w:t>
    </w:r>
    <w:r w:rsidR="00596142">
      <w:rPr>
        <w:rFonts w:ascii="Cambria" w:hAnsi="Cambria"/>
        <w:sz w:val="24"/>
        <w:szCs w:val="24"/>
      </w:rPr>
      <w:fldChar w:fldCharType="end"/>
    </w:r>
  </w:p>
  <w:p w:rsidR="00596142" w:rsidRPr="00A93256" w:rsidRDefault="00596142" w:rsidP="00777888">
    <w:pPr>
      <w:pStyle w:val="Header"/>
      <w:ind w:left="1440"/>
      <w:rPr>
        <w:rFonts w:ascii="Cambria" w:hAnsi="Cambria"/>
        <w:sz w:val="24"/>
        <w:szCs w:val="24"/>
      </w:rPr>
    </w:pPr>
    <w:r>
      <w:rPr>
        <w:rFonts w:ascii="Cambria" w:hAnsi="Cambria"/>
        <w:sz w:val="24"/>
        <w:szCs w:val="24"/>
      </w:rPr>
      <w:t xml:space="preserve">SSU </w:t>
    </w:r>
    <w:r w:rsidR="00731551">
      <w:rPr>
        <w:rFonts w:ascii="Cambria" w:hAnsi="Cambria"/>
        <w:sz w:val="24"/>
        <w:szCs w:val="24"/>
      </w:rPr>
      <w:t>Business</w:t>
    </w:r>
    <w:r>
      <w:rPr>
        <w:rFonts w:ascii="Cambria" w:hAnsi="Cambria"/>
        <w:sz w:val="24"/>
        <w:szCs w:val="24"/>
      </w:rPr>
      <w:t xml:space="preserve"> Procedures for </w:t>
    </w:r>
    <w:r w:rsidR="00700E66">
      <w:rPr>
        <w:rFonts w:ascii="Cambria" w:hAnsi="Cambria"/>
        <w:sz w:val="24"/>
        <w:szCs w:val="24"/>
      </w:rPr>
      <w:fldChar w:fldCharType="begin"/>
    </w:r>
    <w:r w:rsidR="00700E66">
      <w:rPr>
        <w:rFonts w:ascii="Cambria" w:hAnsi="Cambria"/>
        <w:sz w:val="24"/>
        <w:szCs w:val="24"/>
      </w:rPr>
      <w:instrText xml:space="preserve"> DOCVARIABLE  "Document Title"  \* MERGEFORMAT </w:instrText>
    </w:r>
    <w:r w:rsidR="00700E66">
      <w:rPr>
        <w:rFonts w:ascii="Cambria" w:hAnsi="Cambria"/>
        <w:sz w:val="24"/>
        <w:szCs w:val="24"/>
      </w:rPr>
      <w:fldChar w:fldCharType="separate"/>
    </w:r>
    <w:r w:rsidR="00700E66">
      <w:rPr>
        <w:rFonts w:ascii="Cambria" w:hAnsi="Cambria"/>
        <w:sz w:val="24"/>
        <w:szCs w:val="24"/>
      </w:rPr>
      <w:t>Document Title</w:t>
    </w:r>
    <w:r w:rsidR="00700E66">
      <w:rPr>
        <w:rFonts w:ascii="Cambria" w:hAnsi="Cambria"/>
        <w:sz w:val="24"/>
        <w:szCs w:val="24"/>
      </w:rPr>
      <w:fldChar w:fldCharType="end"/>
    </w:r>
  </w:p>
  <w:p w:rsidR="00596142" w:rsidRPr="008A4BC8" w:rsidRDefault="00596142" w:rsidP="00777888">
    <w:pPr>
      <w:pStyle w:val="Header"/>
      <w:ind w:left="1440"/>
      <w:rPr>
        <w:rFonts w:ascii="Cambria" w:hAnsi="Cambria"/>
        <w:i/>
        <w:sz w:val="24"/>
        <w:szCs w:val="24"/>
      </w:rPr>
    </w:pPr>
    <w:r w:rsidRPr="008A4BC8">
      <w:rPr>
        <w:rFonts w:ascii="Cambria" w:hAnsi="Cambria"/>
        <w:i/>
        <w:sz w:val="24"/>
        <w:szCs w:val="24"/>
      </w:rPr>
      <w:t>A Unit of the University System of Georgia</w:t>
    </w:r>
  </w:p>
  <w:p w:rsidR="00596142" w:rsidRDefault="00596142">
    <w:pPr>
      <w:pStyle w:val="Header"/>
    </w:pPr>
  </w:p>
  <w:p w:rsidR="00596142" w:rsidRDefault="00596142">
    <w:pPr>
      <w:pStyle w:val="Header"/>
    </w:pPr>
  </w:p>
  <w:p w:rsidR="00596142" w:rsidRDefault="00596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47B71"/>
    <w:multiLevelType w:val="multilevel"/>
    <w:tmpl w:val="C99AC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02B19"/>
    <w:multiLevelType w:val="multilevel"/>
    <w:tmpl w:val="49EE8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153F2"/>
    <w:multiLevelType w:val="multilevel"/>
    <w:tmpl w:val="55DC6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90835"/>
    <w:multiLevelType w:val="multilevel"/>
    <w:tmpl w:val="1A0A64B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4">
    <w:nsid w:val="439614FA"/>
    <w:multiLevelType w:val="multilevel"/>
    <w:tmpl w:val="E3E8E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93621"/>
    <w:multiLevelType w:val="multilevel"/>
    <w:tmpl w:val="1A0A64B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6">
    <w:nsid w:val="4BA411F0"/>
    <w:multiLevelType w:val="multilevel"/>
    <w:tmpl w:val="1A0A64B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7">
    <w:nsid w:val="65042720"/>
    <w:multiLevelType w:val="multilevel"/>
    <w:tmpl w:val="531E3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D44DB1"/>
    <w:multiLevelType w:val="multilevel"/>
    <w:tmpl w:val="1A0A64B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Both" w:val="AP Both"/>
    <w:docVar w:name="AP Department" w:val="AP Department"/>
    <w:docVar w:name="AP Full Name" w:val="AP Full Name"/>
    <w:docVar w:name="AP Job Title" w:val="AP Job Title"/>
    <w:docVar w:name="Business Title" w:val="Business Title"/>
    <w:docVar w:name="Category Titles" w:val="Category Titles"/>
    <w:docVar w:name="Date Approved" w:val="Date Approved"/>
    <w:docVar w:name="Date Archived" w:val="Date Archived"/>
    <w:docVar w:name="Date Created" w:val="Date Created"/>
    <w:docVar w:name="Date Submitted" w:val="Date Submitted"/>
    <w:docVar w:name="Department(s)" w:val="Department(s)"/>
    <w:docVar w:name="Document Title" w:val="Document Title"/>
    <w:docVar w:name="Effective Date" w:val="Effective Date"/>
    <w:docVar w:name="Full Year" w:val="2010"/>
    <w:docVar w:name="Long Day" w:val="Thursday"/>
    <w:docVar w:name="Long Month" w:val="January"/>
    <w:docVar w:name="Next Review Date" w:val="Next Review Date"/>
    <w:docVar w:name="OPT_102" w:val=" 900 Facilities"/>
    <w:docVar w:name="OPT_114" w:val="1000 Information, Records, &amp; Publications"/>
    <w:docVar w:name="OPT_119" w:val="1100 Information Technology"/>
    <w:docVar w:name="OPT_125" w:val="1900 Miscellaneous"/>
    <w:docVar w:name="OPT_50" w:val=" 200 Governance"/>
    <w:docVar w:name="OPT_52" w:val=" 300 Academic Affairs"/>
    <w:docVar w:name="OPT_63" w:val=" 400 Student Affairs"/>
    <w:docVar w:name="OPT_73" w:val=" 500 Public Service"/>
    <w:docVar w:name="OPT_78" w:val=" 600 Research"/>
    <w:docVar w:name="OPT_81" w:val=" 700 Finance &amp; Business"/>
    <w:docVar w:name="OPT_96" w:val=" 800 Personnel &amp; Human Services"/>
    <w:docVar w:name="PO Both" w:val="DO Both"/>
    <w:docVar w:name="PO Department" w:val="DO Department"/>
    <w:docVar w:name="PO Full Name" w:val="DO Full Name"/>
    <w:docVar w:name="PO Job Title" w:val="DO Job Title"/>
    <w:docVar w:name="RD Both" w:val="RD Both"/>
    <w:docVar w:name="RD Department" w:val="RD Department"/>
    <w:docVar w:name="RD Full Name" w:val="RD Full Name"/>
    <w:docVar w:name="RD Job Title" w:val="RD Job Title"/>
    <w:docVar w:name="Reference #" w:val="Reference #"/>
    <w:docVar w:name="Required Readers" w:val="Required Readers"/>
    <w:docVar w:name="RV Both" w:val="RV Both"/>
    <w:docVar w:name="RV Department" w:val="RV Department"/>
    <w:docVar w:name="RV Full Name" w:val="RV Full Name"/>
    <w:docVar w:name="RV Job Title" w:val="RV Job Title"/>
    <w:docVar w:name="Short Day" w:val="14"/>
    <w:docVar w:name="Short Month" w:val="01"/>
    <w:docVar w:name="site Name" w:val="site Name"/>
    <w:docVar w:name="Supersedes" w:val="Supersedes"/>
    <w:docVar w:name="Two Digit Year" w:val="10"/>
    <w:docVar w:name="Version" w:val="Version"/>
  </w:docVars>
  <w:rsids>
    <w:rsidRoot w:val="00E03D27"/>
    <w:rsid w:val="00017DD0"/>
    <w:rsid w:val="00052A6C"/>
    <w:rsid w:val="0007285B"/>
    <w:rsid w:val="00092C09"/>
    <w:rsid w:val="000D2546"/>
    <w:rsid w:val="00120456"/>
    <w:rsid w:val="001471F7"/>
    <w:rsid w:val="002B6D1B"/>
    <w:rsid w:val="0031678C"/>
    <w:rsid w:val="0036626E"/>
    <w:rsid w:val="0046107E"/>
    <w:rsid w:val="00492C79"/>
    <w:rsid w:val="004C79BB"/>
    <w:rsid w:val="004E2B3D"/>
    <w:rsid w:val="004F7AFE"/>
    <w:rsid w:val="00554C98"/>
    <w:rsid w:val="00585F70"/>
    <w:rsid w:val="00596142"/>
    <w:rsid w:val="005A67C2"/>
    <w:rsid w:val="00624553"/>
    <w:rsid w:val="0065432A"/>
    <w:rsid w:val="00672279"/>
    <w:rsid w:val="006C0145"/>
    <w:rsid w:val="00700E66"/>
    <w:rsid w:val="007037F5"/>
    <w:rsid w:val="00731551"/>
    <w:rsid w:val="00755294"/>
    <w:rsid w:val="0075787F"/>
    <w:rsid w:val="007666EF"/>
    <w:rsid w:val="00777888"/>
    <w:rsid w:val="007A2CA5"/>
    <w:rsid w:val="008935AF"/>
    <w:rsid w:val="008A4525"/>
    <w:rsid w:val="008A4BC8"/>
    <w:rsid w:val="009271EF"/>
    <w:rsid w:val="00931400"/>
    <w:rsid w:val="00942846"/>
    <w:rsid w:val="009546F8"/>
    <w:rsid w:val="00971E34"/>
    <w:rsid w:val="00986A71"/>
    <w:rsid w:val="009A7A13"/>
    <w:rsid w:val="00A23E3E"/>
    <w:rsid w:val="00A27527"/>
    <w:rsid w:val="00A57030"/>
    <w:rsid w:val="00A93256"/>
    <w:rsid w:val="00AC36E3"/>
    <w:rsid w:val="00AE1A42"/>
    <w:rsid w:val="00B121BB"/>
    <w:rsid w:val="00B3403A"/>
    <w:rsid w:val="00BB0C44"/>
    <w:rsid w:val="00BB14C2"/>
    <w:rsid w:val="00C112BE"/>
    <w:rsid w:val="00C91AB6"/>
    <w:rsid w:val="00CE0984"/>
    <w:rsid w:val="00D4300D"/>
    <w:rsid w:val="00D83120"/>
    <w:rsid w:val="00DC4F79"/>
    <w:rsid w:val="00E03D27"/>
    <w:rsid w:val="00EB00EC"/>
    <w:rsid w:val="00EB07D7"/>
    <w:rsid w:val="00EF3AF8"/>
    <w:rsid w:val="00F03451"/>
    <w:rsid w:val="00F5298E"/>
    <w:rsid w:val="00F72D9D"/>
    <w:rsid w:val="00F8647E"/>
    <w:rsid w:val="00FA45F7"/>
    <w:rsid w:val="00FC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975BED3-C4FF-499D-8F0C-C67718E7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527"/>
    <w:pPr>
      <w:jc w:val="both"/>
    </w:pPr>
    <w:rPr>
      <w:sz w:val="21"/>
      <w:szCs w:val="21"/>
    </w:rPr>
  </w:style>
  <w:style w:type="paragraph" w:styleId="Heading2">
    <w:name w:val="heading 2"/>
    <w:basedOn w:val="Normal"/>
    <w:next w:val="Normal"/>
    <w:link w:val="Heading2Char"/>
    <w:uiPriority w:val="9"/>
    <w:semiHidden/>
    <w:unhideWhenUsed/>
    <w:qFormat/>
    <w:rsid w:val="00017DD0"/>
    <w:pPr>
      <w:keepNext/>
      <w:keepLines/>
      <w:spacing w:before="200"/>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
    <w:semiHidden/>
    <w:unhideWhenUsed/>
    <w:qFormat/>
    <w:rsid w:val="00017DD0"/>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017DD0"/>
    <w:rPr>
      <w:rFonts w:ascii="Cambria" w:eastAsia="Times New Roman" w:hAnsi="Cambria" w:cs="Times New Roman"/>
      <w:i/>
      <w:iCs/>
      <w:color w:val="243F60"/>
    </w:rPr>
  </w:style>
  <w:style w:type="paragraph" w:styleId="NormalWeb">
    <w:name w:val="Normal (Web)"/>
    <w:basedOn w:val="Normal"/>
    <w:uiPriority w:val="99"/>
    <w:unhideWhenUsed/>
    <w:rsid w:val="00017DD0"/>
    <w:pPr>
      <w:spacing w:before="100" w:beforeAutospacing="1" w:after="100" w:afterAutospacing="1"/>
      <w:jc w:val="left"/>
    </w:pPr>
    <w:rPr>
      <w:rFonts w:eastAsia="Times New Roman"/>
      <w:sz w:val="24"/>
      <w:szCs w:val="24"/>
    </w:rPr>
  </w:style>
  <w:style w:type="character" w:styleId="Strong">
    <w:name w:val="Strong"/>
    <w:uiPriority w:val="22"/>
    <w:qFormat/>
    <w:rsid w:val="00017DD0"/>
    <w:rPr>
      <w:b/>
      <w:bCs/>
    </w:rPr>
  </w:style>
  <w:style w:type="character" w:styleId="Emphasis">
    <w:name w:val="Emphasis"/>
    <w:uiPriority w:val="20"/>
    <w:qFormat/>
    <w:rsid w:val="00017DD0"/>
    <w:rPr>
      <w:i/>
      <w:iCs/>
    </w:rPr>
  </w:style>
  <w:style w:type="character" w:customStyle="1" w:styleId="Heading2Char">
    <w:name w:val="Heading 2 Char"/>
    <w:link w:val="Heading2"/>
    <w:uiPriority w:val="9"/>
    <w:semiHidden/>
    <w:rsid w:val="00017DD0"/>
    <w:rPr>
      <w:rFonts w:ascii="Cambria" w:eastAsia="Times New Roman" w:hAnsi="Cambria" w:cs="Times New Roman"/>
      <w:b/>
      <w:bCs/>
      <w:color w:val="4F81BD"/>
      <w:sz w:val="26"/>
      <w:szCs w:val="26"/>
    </w:rPr>
  </w:style>
  <w:style w:type="paragraph" w:customStyle="1" w:styleId="Default">
    <w:name w:val="Default"/>
    <w:rsid w:val="009546F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6107E"/>
    <w:rPr>
      <w:rFonts w:ascii="Tahoma" w:hAnsi="Tahoma" w:cs="Tahoma"/>
      <w:sz w:val="16"/>
      <w:szCs w:val="16"/>
    </w:rPr>
  </w:style>
  <w:style w:type="character" w:customStyle="1" w:styleId="BalloonTextChar">
    <w:name w:val="Balloon Text Char"/>
    <w:link w:val="BalloonText"/>
    <w:uiPriority w:val="99"/>
    <w:semiHidden/>
    <w:rsid w:val="0046107E"/>
    <w:rPr>
      <w:rFonts w:ascii="Tahoma" w:hAnsi="Tahoma" w:cs="Tahoma"/>
      <w:sz w:val="16"/>
      <w:szCs w:val="16"/>
    </w:rPr>
  </w:style>
  <w:style w:type="paragraph" w:styleId="Header">
    <w:name w:val="header"/>
    <w:basedOn w:val="Normal"/>
    <w:link w:val="HeaderChar"/>
    <w:uiPriority w:val="99"/>
    <w:unhideWhenUsed/>
    <w:rsid w:val="00777888"/>
    <w:pPr>
      <w:tabs>
        <w:tab w:val="center" w:pos="4680"/>
        <w:tab w:val="right" w:pos="9360"/>
      </w:tabs>
    </w:pPr>
  </w:style>
  <w:style w:type="character" w:customStyle="1" w:styleId="HeaderChar">
    <w:name w:val="Header Char"/>
    <w:basedOn w:val="DefaultParagraphFont"/>
    <w:link w:val="Header"/>
    <w:uiPriority w:val="99"/>
    <w:rsid w:val="00777888"/>
  </w:style>
  <w:style w:type="paragraph" w:styleId="Footer">
    <w:name w:val="footer"/>
    <w:basedOn w:val="Normal"/>
    <w:link w:val="FooterChar"/>
    <w:uiPriority w:val="99"/>
    <w:unhideWhenUsed/>
    <w:rsid w:val="00777888"/>
    <w:pPr>
      <w:tabs>
        <w:tab w:val="center" w:pos="4680"/>
        <w:tab w:val="right" w:pos="9360"/>
      </w:tabs>
    </w:pPr>
  </w:style>
  <w:style w:type="character" w:customStyle="1" w:styleId="FooterChar">
    <w:name w:val="Footer Char"/>
    <w:basedOn w:val="DefaultParagraphFont"/>
    <w:link w:val="Footer"/>
    <w:uiPriority w:val="99"/>
    <w:rsid w:val="0077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Savannah State University</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FA1</dc:creator>
  <cp:keywords/>
  <cp:lastModifiedBy>Hutchinson, Samantha</cp:lastModifiedBy>
  <cp:revision>2</cp:revision>
  <dcterms:created xsi:type="dcterms:W3CDTF">2015-04-15T17:05:00Z</dcterms:created>
  <dcterms:modified xsi:type="dcterms:W3CDTF">2015-04-15T17:05:00Z</dcterms:modified>
</cp:coreProperties>
</file>